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1D4F">
      <w:pPr>
        <w:keepNext w:val="0"/>
        <w:keepLines w:val="0"/>
        <w:pageBreakBefore w:val="0"/>
        <w:widowControl w:val="0"/>
        <w:kinsoku/>
        <w:overflowPunct/>
        <w:topLinePunct w:val="0"/>
        <w:autoSpaceDE/>
        <w:autoSpaceDN/>
        <w:bidi w:val="0"/>
        <w:spacing w:line="55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BF2C11F">
      <w:pPr>
        <w:keepNext w:val="0"/>
        <w:keepLines w:val="0"/>
        <w:pageBreakBefore w:val="0"/>
        <w:overflowPunct/>
        <w:topLinePunct w:val="0"/>
        <w:bidi w:val="0"/>
        <w:spacing w:line="55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73C0DAC2">
      <w:pPr>
        <w:keepNext w:val="0"/>
        <w:keepLines w:val="0"/>
        <w:pageBreakBefore w:val="0"/>
        <w:overflowPunct/>
        <w:topLinePunct w:val="0"/>
        <w:bidi w:val="0"/>
        <w:spacing w:line="550" w:lineRule="exact"/>
      </w:pPr>
    </w:p>
    <w:p w14:paraId="0F06480C">
      <w:pPr>
        <w:keepNext w:val="0"/>
        <w:keepLines w:val="0"/>
        <w:pageBreakBefore w:val="0"/>
        <w:wordWrap w:val="0"/>
        <w:overflowPunct/>
        <w:topLinePunct w:val="0"/>
        <w:bidi w:val="0"/>
        <w:spacing w:line="55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37</w:t>
      </w:r>
      <w:r>
        <w:rPr>
          <w:rFonts w:hint="eastAsia" w:ascii="仿宋_GB2312" w:hAnsi="仿宋_GB2312" w:eastAsia="仿宋_GB2312" w:cs="仿宋_GB2312"/>
          <w:spacing w:val="-1"/>
          <w:sz w:val="32"/>
          <w:szCs w:val="32"/>
        </w:rPr>
        <w:t>号</w:t>
      </w:r>
    </w:p>
    <w:p w14:paraId="27227809">
      <w:pPr>
        <w:keepNext w:val="0"/>
        <w:keepLines w:val="0"/>
        <w:pageBreakBefore w:val="0"/>
        <w:overflowPunct/>
        <w:topLinePunct w:val="0"/>
        <w:bidi w:val="0"/>
        <w:spacing w:line="550" w:lineRule="exact"/>
        <w:rPr>
          <w:rFonts w:ascii="仿宋_GB2312" w:hAnsi="仿宋_GB2312" w:eastAsia="仿宋_GB2312" w:cs="仿宋_GB2312"/>
          <w:sz w:val="32"/>
          <w:szCs w:val="32"/>
        </w:rPr>
      </w:pPr>
    </w:p>
    <w:p w14:paraId="49F0A1D9">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当事人：江门市裕昌新型材料有限公司</w:t>
      </w:r>
    </w:p>
    <w:p w14:paraId="2E4BF124">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统一社会信用代码：91440703773061307B</w:t>
      </w:r>
    </w:p>
    <w:p w14:paraId="34D7D148">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法定代表人：陈家烯</w:t>
      </w:r>
    </w:p>
    <w:p w14:paraId="2AFF3A65">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地址：江门市蓬江区荷塘镇南村村委会东沙开发区</w:t>
      </w:r>
    </w:p>
    <w:p w14:paraId="09D22F5D">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 w:eastAsia="仿宋_GB2312" w:cs="Calibri"/>
          <w:snapToGrid/>
          <w:kern w:val="2"/>
          <w:sz w:val="32"/>
          <w:szCs w:val="32"/>
          <w:highlight w:val="none"/>
          <w:lang w:val="en-US" w:eastAsia="zh-CN"/>
        </w:rPr>
      </w:pPr>
    </w:p>
    <w:p w14:paraId="29F47688">
      <w:pPr>
        <w:keepNext w:val="0"/>
        <w:keepLines w:val="0"/>
        <w:pageBreakBefore w:val="0"/>
        <w:overflowPunct/>
        <w:topLinePunct w:val="0"/>
        <w:autoSpaceDE/>
        <w:autoSpaceDN/>
        <w:bidi w:val="0"/>
        <w:spacing w:line="55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37384C3A">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2025年8月26、27日，我局执法人员对你单位进行现场检查，发现你单位存在以下环境违法行为：</w:t>
      </w:r>
    </w:p>
    <w:p w14:paraId="4B172543">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你单位主要从事水性涂料加工项目，该项目属于《固定污染源排污许可分类管理名录（2019年版）》第二十一大项“化学原料和化学制品制造业26”的第48小项“涂料、油墨、颜料及类似产品制造264”中“涂料制造2641”的重点管理类别，需要申领排污许可证。现场检查期间你单位1台反应釜的加热搅拌工序正在生产，产生的挥发性有机物废气经活性炭吸附处理后外排，你单位未能提供国版排污许可证。即你单位存在未依法取得排污许可证排放大气污染物的违法行为。</w:t>
      </w:r>
    </w:p>
    <w:p w14:paraId="296ED543">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以上事实，有以下主要证据证明：</w:t>
      </w:r>
    </w:p>
    <w:p w14:paraId="5617EC01">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1.2025年8月26日江门市生态环境局执法人员现场检查所作的《江门市生态环境局现场检查（勘察）记录》。</w:t>
      </w:r>
    </w:p>
    <w:p w14:paraId="434E1710">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2.2025年8月26日江门市生态环境局执法人员现场检查所作的《江门市生态环境局调查询问笔录》。</w:t>
      </w:r>
    </w:p>
    <w:p w14:paraId="7920B5D1">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3.2025年8月26日江门市生态环境局执法人员现场检查时所拍摄的视频资料和照片资料。</w:t>
      </w:r>
    </w:p>
    <w:p w14:paraId="3A3D0A55">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1、2、3证明一是你单位的主体信息、生产设备、生产流程、环保手续、生产原辅材料、污染物排放等情况；二是现场检查期间你单位1台反应釜的加热搅拌工序正在生产，产生的挥发性有机物废气经活性炭吸附处理后外排的情况；三是你单位属于排污许可重点管理类别，但你单位未依法办理并取得排污许可证的事实。</w:t>
      </w:r>
    </w:p>
    <w:p w14:paraId="1D2360CD">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4.2025年8月26日江门市裕昌新型材料有限公司提供的《中XX有限公司产品质量合格证》（工业用XXXX酯、工业用XXXX酯）复印件。</w:t>
      </w:r>
    </w:p>
    <w:p w14:paraId="268FA12C">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1、2、3、4证明你单位使用工业用XXXX酯和工业用XXXX酯等原辅材料进行生产，且工业用XXXX酯纯度为99.6%、工业用XXXX酯纯度为99.7%，均属于VOCs质量占比大于10%的含VOCs产品，加热搅拌工序进行时会产生挥发性有机物废气。</w:t>
      </w:r>
    </w:p>
    <w:p w14:paraId="5D0CDAC9">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5.2025年8月27日江门市裕昌新型材料有限公司提供的一份《授权委托书》。</w:t>
      </w:r>
    </w:p>
    <w:p w14:paraId="1CAD6355">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证据5证明你单位已授权陈X波（身份证号码：44XXXXXX</w:t>
      </w:r>
      <w:bookmarkStart w:id="0" w:name="_GoBack"/>
      <w:bookmarkEnd w:id="0"/>
      <w:r>
        <w:rPr>
          <w:rFonts w:hint="eastAsia" w:ascii="仿宋_GB2312" w:hAnsi="仿宋" w:eastAsia="仿宋_GB2312" w:cs="Times New Roman"/>
          <w:snapToGrid/>
          <w:kern w:val="2"/>
          <w:sz w:val="32"/>
          <w:szCs w:val="32"/>
          <w:lang w:val="en-US" w:eastAsia="zh-CN"/>
        </w:rPr>
        <w:t>17）配合调查并签署执法文书及要求确认的证据材料。</w:t>
      </w:r>
    </w:p>
    <w:p w14:paraId="32B0FD33">
      <w:pPr>
        <w:keepNext w:val="0"/>
        <w:keepLines w:val="0"/>
        <w:pageBreakBefore w:val="0"/>
        <w:widowControl w:val="0"/>
        <w:kinsoku/>
        <w:wordWrap/>
        <w:overflowPunct/>
        <w:topLinePunct w:val="0"/>
        <w:autoSpaceDE/>
        <w:autoSpaceDN/>
        <w:bidi w:val="0"/>
        <w:adjustRightInd w:val="0"/>
        <w:snapToGrid w:val="0"/>
        <w:spacing w:line="560" w:lineRule="atLeast"/>
        <w:ind w:left="0" w:leftChars="0"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 w:eastAsia="仿宋_GB2312" w:cs="Times New Roman"/>
          <w:snapToGrid/>
          <w:kern w:val="2"/>
          <w:sz w:val="32"/>
          <w:szCs w:val="32"/>
          <w:lang w:val="en-US" w:eastAsia="zh-CN"/>
        </w:rPr>
        <w:t>6.2025年8月26日江门市生态环境局执法人员调查所作的《江门市生态环境局当事人送达地址确认书》。</w:t>
      </w:r>
      <w:r>
        <w:rPr>
          <w:rFonts w:hint="eastAsia" w:ascii="仿宋_GB2312" w:hAnsi="仿宋" w:eastAsia="仿宋_GB2312" w:cs="Times New Roman"/>
          <w:snapToGrid/>
          <w:kern w:val="2"/>
          <w:sz w:val="32"/>
          <w:szCs w:val="32"/>
          <w:lang w:val="en-US" w:eastAsia="zh-CN"/>
        </w:rPr>
        <w:br w:type="textWrapping"/>
      </w:r>
      <w:r>
        <w:rPr>
          <w:rFonts w:hint="eastAsia" w:ascii="仿宋_GB2312" w:hAnsi="仿宋" w:eastAsia="仿宋_GB2312" w:cs="Times New Roman"/>
          <w:snapToGrid/>
          <w:kern w:val="2"/>
          <w:sz w:val="32"/>
          <w:szCs w:val="32"/>
          <w:lang w:val="en-US" w:eastAsia="zh-CN"/>
        </w:rPr>
        <w:t xml:space="preserve">    证据6证明你单位已提供经确认过的送达地址和方式。</w:t>
      </w:r>
    </w:p>
    <w:p w14:paraId="1BCE96A6">
      <w:pPr>
        <w:keepNext w:val="0"/>
        <w:keepLines w:val="0"/>
        <w:pageBreakBefore w:val="0"/>
        <w:widowControl w:val="0"/>
        <w:kinsoku/>
        <w:overflowPunct/>
        <w:topLinePunct w:val="0"/>
        <w:autoSpaceDE/>
        <w:autoSpaceDN/>
        <w:bidi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03D6B5C5">
      <w:pPr>
        <w:keepNext w:val="0"/>
        <w:keepLines w:val="0"/>
        <w:pageBreakBefore w:val="0"/>
        <w:overflowPunct/>
        <w:topLinePunct w:val="0"/>
        <w:autoSpaceDE/>
        <w:autoSpaceDN/>
        <w:bidi w:val="0"/>
        <w:spacing w:line="55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排污许可管理条例》第二条第一款“依照法律规定实行排污许可管理的企业事业单位和其他生产经营者（以下称排污单位），应当依照本条例规定申请取得排污许可证；未取得排污许可证的，不得排放污染物。”</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排污许可管理条例》第三十三条第一项“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w:t>
      </w:r>
      <w:r>
        <w:rPr>
          <w:rFonts w:hint="eastAsia" w:ascii="仿宋_GB2312" w:hAnsi="仿宋_GB2312" w:eastAsia="仿宋_GB2312" w:cs="仿宋_GB2312"/>
          <w:b/>
          <w:sz w:val="32"/>
          <w:szCs w:val="32"/>
          <w:lang w:val="en-US" w:eastAsia="zh-CN"/>
        </w:rPr>
        <w:t>改正</w:t>
      </w:r>
      <w:r>
        <w:rPr>
          <w:rFonts w:hint="eastAsia" w:ascii="仿宋_GB2312" w:hAnsi="仿宋_GB2312" w:eastAsia="仿宋_GB2312" w:cs="仿宋_GB2312"/>
          <w:b/>
          <w:sz w:val="32"/>
          <w:szCs w:val="32"/>
          <w:lang w:eastAsia="zh-CN"/>
        </w:rPr>
        <w:t>未依法取得排污许可证排放大气污染物的违法行为</w:t>
      </w:r>
      <w:r>
        <w:rPr>
          <w:rFonts w:hint="eastAsia" w:ascii="仿宋_GB2312" w:hAnsi="仿宋_GB2312" w:eastAsia="仿宋_GB2312" w:cs="仿宋_GB2312"/>
          <w:b/>
          <w:bCs/>
          <w:sz w:val="32"/>
          <w:szCs w:val="32"/>
        </w:rPr>
        <w:t>。</w:t>
      </w:r>
    </w:p>
    <w:p w14:paraId="04A81450">
      <w:pPr>
        <w:keepNext w:val="0"/>
        <w:keepLines w:val="0"/>
        <w:pageBreakBefore w:val="0"/>
        <w:widowControl w:val="0"/>
        <w:kinsoku/>
        <w:overflowPunct/>
        <w:topLinePunct w:val="0"/>
        <w:autoSpaceDE/>
        <w:autoSpaceDN/>
        <w:bidi w:val="0"/>
        <w:spacing w:line="55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8BB75B">
      <w:pPr>
        <w:keepNext w:val="0"/>
        <w:keepLines w:val="0"/>
        <w:pageBreakBefore w:val="0"/>
        <w:widowControl w:val="0"/>
        <w:kinsoku/>
        <w:overflowPunct/>
        <w:topLinePunct w:val="0"/>
        <w:autoSpaceDE/>
        <w:autoSpaceDN/>
        <w:bidi w:val="0"/>
        <w:spacing w:line="55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07D2126">
      <w:pPr>
        <w:keepNext w:val="0"/>
        <w:keepLines w:val="0"/>
        <w:pageBreakBefore w:val="0"/>
        <w:widowControl w:val="0"/>
        <w:kinsoku/>
        <w:overflowPunct/>
        <w:topLinePunct w:val="0"/>
        <w:autoSpaceDE/>
        <w:autoSpaceDN/>
        <w:bidi w:val="0"/>
        <w:spacing w:line="550" w:lineRule="exact"/>
        <w:ind w:left="1585" w:leftChars="304" w:hanging="947" w:hangingChars="296"/>
        <w:textAlignment w:val="auto"/>
        <w:rPr>
          <w:rFonts w:hint="eastAsia" w:ascii="仿宋_GB2312" w:hAnsi="仿宋_GB2312" w:eastAsia="仿宋_GB2312" w:cs="仿宋_GB2312"/>
          <w:snapToGrid/>
          <w:kern w:val="2"/>
          <w:sz w:val="32"/>
          <w:szCs w:val="32"/>
        </w:rPr>
      </w:pPr>
    </w:p>
    <w:p w14:paraId="0ECCDAD8">
      <w:pPr>
        <w:keepNext w:val="0"/>
        <w:keepLines w:val="0"/>
        <w:pageBreakBefore w:val="0"/>
        <w:widowControl w:val="0"/>
        <w:kinsoku/>
        <w:overflowPunct/>
        <w:topLinePunct w:val="0"/>
        <w:autoSpaceDE/>
        <w:autoSpaceDN/>
        <w:bidi w:val="0"/>
        <w:spacing w:line="55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080BDFA">
      <w:pPr>
        <w:keepNext w:val="0"/>
        <w:keepLines w:val="0"/>
        <w:pageBreakBefore w:val="0"/>
        <w:widowControl w:val="0"/>
        <w:kinsoku/>
        <w:overflowPunct/>
        <w:topLinePunct w:val="0"/>
        <w:autoSpaceDE/>
        <w:autoSpaceDN/>
        <w:bidi w:val="0"/>
        <w:spacing w:line="55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0535AA7D">
      <w:pPr>
        <w:keepNext w:val="0"/>
        <w:keepLines w:val="0"/>
        <w:pageBreakBefore w:val="0"/>
        <w:widowControl w:val="0"/>
        <w:kinsoku/>
        <w:overflowPunct/>
        <w:topLinePunct w:val="0"/>
        <w:autoSpaceDE/>
        <w:autoSpaceDN/>
        <w:bidi w:val="0"/>
        <w:spacing w:line="550" w:lineRule="exact"/>
        <w:jc w:val="both"/>
        <w:textAlignment w:val="auto"/>
        <w:rPr>
          <w:rFonts w:hint="eastAsia" w:ascii="仿宋_GB2312" w:hAnsi="仿宋_GB2312" w:eastAsia="仿宋_GB2312" w:cs="仿宋_GB2312"/>
          <w:snapToGrid/>
          <w:kern w:val="2"/>
          <w:sz w:val="32"/>
          <w:szCs w:val="32"/>
        </w:rPr>
      </w:pPr>
    </w:p>
    <w:p w14:paraId="4C83B34F">
      <w:pPr>
        <w:keepNext w:val="0"/>
        <w:keepLines w:val="0"/>
        <w:pageBreakBefore w:val="0"/>
        <w:widowControl w:val="0"/>
        <w:kinsoku/>
        <w:overflowPunct/>
        <w:topLinePunct w:val="0"/>
        <w:autoSpaceDE/>
        <w:autoSpaceDN/>
        <w:bidi w:val="0"/>
        <w:spacing w:line="550" w:lineRule="exact"/>
        <w:jc w:val="both"/>
        <w:textAlignment w:val="auto"/>
        <w:rPr>
          <w:rFonts w:hint="eastAsia" w:ascii="仿宋_GB2312" w:hAnsi="仿宋_GB2312" w:eastAsia="仿宋_GB2312" w:cs="仿宋_GB2312"/>
          <w:snapToGrid/>
          <w:kern w:val="2"/>
          <w:sz w:val="32"/>
          <w:szCs w:val="32"/>
        </w:rPr>
      </w:pPr>
    </w:p>
    <w:p w14:paraId="553EC68C">
      <w:pPr>
        <w:keepNext w:val="0"/>
        <w:keepLines w:val="0"/>
        <w:pageBreakBefore w:val="0"/>
        <w:widowControl w:val="0"/>
        <w:kinsoku/>
        <w:wordWrap w:val="0"/>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 xml:space="preserve">江门市生态环境局    </w:t>
      </w:r>
    </w:p>
    <w:p w14:paraId="45DB3D60">
      <w:pPr>
        <w:keepNext w:val="0"/>
        <w:keepLines w:val="0"/>
        <w:pageBreakBefore w:val="0"/>
        <w:widowControl w:val="0"/>
        <w:kinsoku/>
        <w:wordWrap w:val="0"/>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10</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15</w:t>
      </w:r>
      <w:r>
        <w:rPr>
          <w:rFonts w:hint="eastAsia" w:ascii="仿宋_GB2312" w:hAnsi="仿宋" w:eastAsia="仿宋_GB2312" w:cs="Times New Roman"/>
          <w:snapToGrid/>
          <w:kern w:val="2"/>
          <w:sz w:val="32"/>
          <w:szCs w:val="32"/>
        </w:rPr>
        <w:t xml:space="preserve">日    </w:t>
      </w:r>
    </w:p>
    <w:p w14:paraId="0E44497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FEBB03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745FCE1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50FE44CB">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481A232">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8BF6E54">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71028FE1">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1C9DD9C3">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tbl>
      <w:tblPr>
        <w:tblStyle w:val="4"/>
        <w:tblpPr w:leftFromText="180" w:rightFromText="180" w:vertAnchor="text" w:horzAnchor="page" w:tblpX="1590" w:tblpY="1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77F14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C188F17">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63338FCD">
      <w:pPr>
        <w:keepNext w:val="0"/>
        <w:keepLines w:val="0"/>
        <w:pageBreakBefore w:val="0"/>
        <w:widowControl/>
        <w:kinsoku w:val="0"/>
        <w:wordWrap/>
        <w:overflowPunct/>
        <w:topLinePunct w:val="0"/>
        <w:autoSpaceDE w:val="0"/>
        <w:autoSpaceDN w:val="0"/>
        <w:bidi w:val="0"/>
        <w:adjustRightInd w:val="0"/>
        <w:snapToGrid w:val="0"/>
        <w:spacing w:line="20" w:lineRule="exact"/>
        <w:jc w:val="left"/>
        <w:textAlignment w:val="baseline"/>
        <w:rPr>
          <w:rFonts w:ascii="Arial" w:hAnsi="Arial" w:eastAsia="Arial" w:cs="Arial"/>
          <w:snapToGrid w:val="0"/>
          <w:color w:val="000000"/>
          <w:sz w:val="21"/>
          <w:szCs w:val="21"/>
          <w:lang w:val="en-US" w:eastAsia="zh-CN" w:bidi="ar-SA"/>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59B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BE19AB"/>
    <w:rsid w:val="01235181"/>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BC670A8"/>
    <w:rsid w:val="1C174DF4"/>
    <w:rsid w:val="1D413EF5"/>
    <w:rsid w:val="1ED876CB"/>
    <w:rsid w:val="1F635C48"/>
    <w:rsid w:val="22CF5092"/>
    <w:rsid w:val="22DE4FC9"/>
    <w:rsid w:val="24451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3D7E06FA"/>
    <w:rsid w:val="406940E1"/>
    <w:rsid w:val="475A6BFF"/>
    <w:rsid w:val="4DE36299"/>
    <w:rsid w:val="521E7FBD"/>
    <w:rsid w:val="52717680"/>
    <w:rsid w:val="53C048A9"/>
    <w:rsid w:val="541F3870"/>
    <w:rsid w:val="583919BB"/>
    <w:rsid w:val="59F6460C"/>
    <w:rsid w:val="5A106171"/>
    <w:rsid w:val="5A6C5E26"/>
    <w:rsid w:val="5D327901"/>
    <w:rsid w:val="5D6002BE"/>
    <w:rsid w:val="645D370F"/>
    <w:rsid w:val="65882DCF"/>
    <w:rsid w:val="70905CC7"/>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1589</Words>
  <Characters>1718</Characters>
  <Lines>6</Lines>
  <Paragraphs>1</Paragraphs>
  <TotalTime>4</TotalTime>
  <ScaleCrop>false</ScaleCrop>
  <LinksUpToDate>false</LinksUpToDate>
  <CharactersWithSpaces>1730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2025-10-11T10:04:00Z</cp:lastPrinted>
  <dcterms:modified xsi:type="dcterms:W3CDTF">2025-10-17T08:26:59Z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