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7791B9">
      <w:pPr>
        <w:pageBreakBefore w:val="0"/>
        <w:kinsoku/>
        <w:wordWrap/>
        <w:overflowPunct/>
        <w:topLinePunct w:val="0"/>
        <w:bidi w:val="0"/>
        <w:snapToGrid/>
        <w:spacing w:line="576" w:lineRule="exact"/>
        <w:ind w:firstLine="0" w:firstLineChars="0"/>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lang w:val="en-US" w:eastAsia="zh-CN"/>
        </w:rPr>
        <w:t>江门市蓬江区2024</w:t>
      </w:r>
      <w:r>
        <w:rPr>
          <w:rFonts w:hint="eastAsia" w:ascii="方正小标宋_GBK" w:hAnsi="方正小标宋_GBK" w:eastAsia="方正小标宋_GBK" w:cs="方正小标宋_GBK"/>
          <w:sz w:val="44"/>
          <w:szCs w:val="44"/>
          <w:highlight w:val="none"/>
        </w:rPr>
        <w:t>年度水利发展资金绩效</w:t>
      </w:r>
    </w:p>
    <w:p w14:paraId="194D10CD">
      <w:pPr>
        <w:pageBreakBefore w:val="0"/>
        <w:kinsoku/>
        <w:wordWrap/>
        <w:overflowPunct/>
        <w:topLinePunct w:val="0"/>
        <w:bidi w:val="0"/>
        <w:snapToGrid/>
        <w:spacing w:line="576" w:lineRule="exact"/>
        <w:ind w:firstLine="0" w:firstLineChars="0"/>
        <w:jc w:val="center"/>
        <w:textAlignment w:val="auto"/>
        <w:rPr>
          <w:rFonts w:hint="eastAsia" w:ascii="方正小标宋_GBK" w:hAnsi="方正小标宋_GBK" w:eastAsia="方正小标宋_GBK" w:cs="方正小标宋_GBK"/>
          <w:sz w:val="44"/>
          <w:szCs w:val="44"/>
          <w:highlight w:val="none"/>
        </w:rPr>
      </w:pPr>
      <w:r>
        <w:rPr>
          <w:rFonts w:hint="eastAsia" w:ascii="方正小标宋_GBK" w:hAnsi="方正小标宋_GBK" w:eastAsia="方正小标宋_GBK" w:cs="方正小标宋_GBK"/>
          <w:sz w:val="44"/>
          <w:szCs w:val="44"/>
          <w:highlight w:val="none"/>
        </w:rPr>
        <w:t>自评报告</w:t>
      </w:r>
    </w:p>
    <w:p w14:paraId="50C580C8">
      <w:pPr>
        <w:pStyle w:val="3"/>
        <w:pageBreakBefore w:val="0"/>
        <w:widowControl/>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黑体" w:cs="Times New Roman"/>
          <w:b w:val="0"/>
          <w:bCs w:val="0"/>
          <w:sz w:val="32"/>
          <w:highlight w:val="none"/>
        </w:rPr>
      </w:pPr>
    </w:p>
    <w:p w14:paraId="331610CA">
      <w:pPr>
        <w:pStyle w:val="3"/>
        <w:pageBreakBefore w:val="0"/>
        <w:widowControl/>
        <w:numPr>
          <w:ilvl w:val="0"/>
          <w:numId w:val="0"/>
        </w:numPr>
        <w:kinsoku/>
        <w:wordWrap/>
        <w:overflowPunct/>
        <w:topLinePunct w:val="0"/>
        <w:autoSpaceDE/>
        <w:autoSpaceDN/>
        <w:bidi w:val="0"/>
        <w:adjustRightInd/>
        <w:snapToGrid/>
        <w:spacing w:line="576" w:lineRule="exact"/>
        <w:ind w:firstLine="640"/>
        <w:textAlignment w:val="auto"/>
        <w:rPr>
          <w:rFonts w:hint="default" w:ascii="Times New Roman" w:hAnsi="Times New Roman" w:eastAsia="黑体" w:cs="Times New Roman"/>
          <w:b w:val="0"/>
          <w:bCs w:val="0"/>
          <w:sz w:val="32"/>
          <w:highlight w:val="none"/>
        </w:rPr>
      </w:pPr>
      <w:r>
        <w:rPr>
          <w:rFonts w:hint="eastAsia" w:eastAsia="黑体" w:cs="Times New Roman"/>
          <w:b w:val="0"/>
          <w:bCs w:val="0"/>
          <w:sz w:val="32"/>
          <w:highlight w:val="none"/>
          <w:lang w:val="en-US" w:eastAsia="zh-CN"/>
        </w:rPr>
        <w:t>一、</w:t>
      </w:r>
      <w:r>
        <w:rPr>
          <w:rFonts w:hint="default" w:ascii="Times New Roman" w:hAnsi="Times New Roman" w:eastAsia="黑体" w:cs="Times New Roman"/>
          <w:b w:val="0"/>
          <w:bCs w:val="0"/>
          <w:sz w:val="32"/>
          <w:highlight w:val="none"/>
        </w:rPr>
        <w:t>年度绩效管理总体情况</w:t>
      </w:r>
    </w:p>
    <w:p w14:paraId="7C2E7B22">
      <w:pPr>
        <w:pStyle w:val="4"/>
        <w:keepNext/>
        <w:keepLines/>
        <w:pageBreakBefore w:val="0"/>
        <w:widowControl/>
        <w:kinsoku/>
        <w:wordWrap/>
        <w:overflowPunct/>
        <w:topLinePunct w:val="0"/>
        <w:autoSpaceDE/>
        <w:autoSpaceDN/>
        <w:bidi w:val="0"/>
        <w:adjustRightInd/>
        <w:snapToGrid/>
        <w:spacing w:line="576" w:lineRule="exact"/>
        <w:ind w:firstLine="643"/>
        <w:textAlignment w:val="auto"/>
        <w:rPr>
          <w:rFonts w:hint="default" w:ascii="Times New Roman" w:hAnsi="Times New Roman" w:eastAsia="楷体_GB2312" w:cs="Times New Roman"/>
          <w:b/>
          <w:bCs w:val="0"/>
          <w:sz w:val="32"/>
          <w:highlight w:val="none"/>
        </w:rPr>
      </w:pPr>
      <w:r>
        <w:rPr>
          <w:rFonts w:hint="default" w:ascii="Times New Roman" w:hAnsi="Times New Roman" w:eastAsia="楷体_GB2312" w:cs="Times New Roman"/>
          <w:b/>
          <w:bCs w:val="0"/>
          <w:sz w:val="32"/>
          <w:highlight w:val="none"/>
        </w:rPr>
        <w:t>（一）中央下达水利发展资金预算和绩效目标情况</w:t>
      </w:r>
    </w:p>
    <w:p w14:paraId="20D7DA09">
      <w:pPr>
        <w:pageBreakBefore w:val="0"/>
        <w:kinsoku/>
        <w:wordWrap/>
        <w:overflowPunct/>
        <w:topLinePunct w:val="0"/>
        <w:bidi w:val="0"/>
        <w:snapToGrid/>
        <w:spacing w:line="576" w:lineRule="exact"/>
        <w:ind w:firstLine="640"/>
        <w:textAlignment w:val="auto"/>
        <w:rPr>
          <w:rFonts w:hint="eastAsia" w:ascii="Times New Roman" w:hAnsi="Times New Roman" w:cs="Times New Roman"/>
          <w:sz w:val="32"/>
          <w:highlight w:val="none"/>
        </w:rPr>
      </w:pPr>
      <w:r>
        <w:rPr>
          <w:rFonts w:hint="eastAsia" w:ascii="Times New Roman" w:hAnsi="Times New Roman" w:cs="Times New Roman"/>
          <w:sz w:val="32"/>
          <w:highlight w:val="none"/>
          <w:lang w:val="en-US" w:eastAsia="zh-CN"/>
        </w:rPr>
        <w:t>根</w:t>
      </w:r>
      <w:r>
        <w:rPr>
          <w:rFonts w:hint="eastAsia" w:ascii="Times New Roman" w:hAnsi="Times New Roman" w:cs="Times New Roman"/>
          <w:sz w:val="32"/>
          <w:highlight w:val="none"/>
        </w:rPr>
        <w:t>据《</w:t>
      </w:r>
      <w:r>
        <w:rPr>
          <w:rFonts w:hint="eastAsia" w:ascii="Times New Roman" w:hAnsi="Times New Roman" w:cs="Times New Roman"/>
          <w:color w:val="auto"/>
          <w:sz w:val="32"/>
          <w:highlight w:val="none"/>
          <w:u w:val="none"/>
        </w:rPr>
        <w:t>江门市财政局关于下达2024年中央水利发展资金预算的通知</w:t>
      </w:r>
      <w:r>
        <w:rPr>
          <w:rFonts w:hint="eastAsia" w:ascii="Times New Roman" w:hAnsi="Times New Roman" w:cs="Times New Roman"/>
          <w:sz w:val="32"/>
          <w:highlight w:val="none"/>
        </w:rPr>
        <w:t>》（</w:t>
      </w:r>
      <w:r>
        <w:rPr>
          <w:rFonts w:hint="eastAsia" w:ascii="Times New Roman" w:hAnsi="Times New Roman" w:cs="Times New Roman"/>
          <w:color w:val="auto"/>
          <w:sz w:val="32"/>
          <w:highlight w:val="none"/>
          <w:u w:val="none"/>
        </w:rPr>
        <w:t>江财农〔2023〕148号</w:t>
      </w:r>
      <w:r>
        <w:rPr>
          <w:rFonts w:hint="eastAsia" w:ascii="Times New Roman" w:hAnsi="Times New Roman" w:cs="Times New Roman"/>
          <w:sz w:val="32"/>
          <w:highlight w:val="none"/>
        </w:rPr>
        <w:t>），</w:t>
      </w:r>
      <w:r>
        <w:rPr>
          <w:rFonts w:hint="eastAsia" w:cs="Times New Roman"/>
          <w:sz w:val="32"/>
          <w:highlight w:val="none"/>
          <w:lang w:val="en-US" w:eastAsia="zh-CN"/>
        </w:rPr>
        <w:t>2024</w:t>
      </w:r>
      <w:r>
        <w:rPr>
          <w:rFonts w:hint="eastAsia" w:ascii="Times New Roman" w:hAnsi="Times New Roman" w:cs="Times New Roman"/>
          <w:sz w:val="32"/>
          <w:highlight w:val="none"/>
        </w:rPr>
        <w:t>年中央水利发展资金下达</w:t>
      </w:r>
      <w:r>
        <w:rPr>
          <w:rFonts w:hint="eastAsia" w:ascii="Times New Roman" w:hAnsi="Times New Roman" w:cs="Times New Roman"/>
          <w:sz w:val="32"/>
          <w:highlight w:val="none"/>
          <w:u w:val="none"/>
        </w:rPr>
        <w:t>我区</w:t>
      </w:r>
      <w:r>
        <w:rPr>
          <w:rFonts w:hint="eastAsia" w:ascii="Times New Roman" w:hAnsi="Times New Roman" w:cs="Times New Roman"/>
          <w:sz w:val="32"/>
          <w:highlight w:val="none"/>
        </w:rPr>
        <w:t>的资金预算为17万元。</w:t>
      </w:r>
    </w:p>
    <w:p w14:paraId="5CEFA3AA">
      <w:pPr>
        <w:pageBreakBefore w:val="0"/>
        <w:kinsoku/>
        <w:wordWrap/>
        <w:overflowPunct/>
        <w:topLinePunct w:val="0"/>
        <w:bidi w:val="0"/>
        <w:snapToGrid/>
        <w:spacing w:line="576" w:lineRule="exact"/>
        <w:ind w:firstLine="640"/>
        <w:textAlignment w:val="auto"/>
        <w:rPr>
          <w:rFonts w:hint="default" w:ascii="Times New Roman" w:hAnsi="Times New Roman" w:eastAsia="仿宋_GB2312" w:cs="Times New Roman"/>
          <w:sz w:val="32"/>
          <w:highlight w:val="none"/>
          <w:lang w:val="en-US" w:eastAsia="zh-CN"/>
        </w:rPr>
      </w:pPr>
      <w:r>
        <w:rPr>
          <w:rFonts w:hint="eastAsia" w:ascii="Times New Roman" w:hAnsi="Times New Roman" w:cs="Times New Roman"/>
          <w:sz w:val="32"/>
          <w:highlight w:val="none"/>
          <w:u w:val="none"/>
        </w:rPr>
        <w:t>我区的</w:t>
      </w:r>
      <w:r>
        <w:rPr>
          <w:rFonts w:hint="eastAsia" w:ascii="Times New Roman" w:hAnsi="Times New Roman" w:cs="Times New Roman"/>
          <w:sz w:val="32"/>
          <w:highlight w:val="none"/>
        </w:rPr>
        <w:t>绩效目标为：</w:t>
      </w:r>
      <w:r>
        <w:rPr>
          <w:rFonts w:hint="eastAsia" w:cs="Times New Roman"/>
          <w:sz w:val="32"/>
          <w:highlight w:val="none"/>
          <w:lang w:val="en-US" w:eastAsia="zh-CN"/>
        </w:rPr>
        <w:t>完成15座小型水库白蚁等害堤动物日常检查；完成141.13公里堤防白蚁等害堤动物日常检查。</w:t>
      </w:r>
    </w:p>
    <w:p w14:paraId="270C5554">
      <w:pPr>
        <w:pageBreakBefore w:val="0"/>
        <w:widowControl w:val="0"/>
        <w:kinsoku/>
        <w:wordWrap/>
        <w:overflowPunct/>
        <w:topLinePunct w:val="0"/>
        <w:bidi w:val="0"/>
        <w:snapToGrid/>
        <w:spacing w:line="576" w:lineRule="exact"/>
        <w:ind w:firstLine="640"/>
        <w:textAlignment w:val="auto"/>
        <w:outlineLvl w:val="2"/>
        <w:rPr>
          <w:rFonts w:hint="eastAsia" w:ascii="Times New Roman" w:hAnsi="Times New Roman" w:cs="Times New Roman"/>
          <w:b/>
          <w:bCs/>
          <w:sz w:val="32"/>
          <w:szCs w:val="32"/>
          <w:highlight w:val="none"/>
          <w:lang w:val="en-US" w:eastAsia="zh-CN"/>
        </w:rPr>
      </w:pPr>
      <w:r>
        <w:rPr>
          <w:rFonts w:hint="eastAsia" w:ascii="Times New Roman" w:hAnsi="Times New Roman" w:cs="Times New Roman"/>
          <w:b/>
          <w:bCs/>
          <w:sz w:val="32"/>
          <w:szCs w:val="32"/>
          <w:highlight w:val="none"/>
          <w:lang w:val="en-US" w:eastAsia="zh-CN"/>
        </w:rPr>
        <w:t>1</w:t>
      </w:r>
      <w:r>
        <w:rPr>
          <w:rFonts w:hint="eastAsia" w:cs="Times New Roman"/>
          <w:b/>
          <w:bCs/>
          <w:sz w:val="32"/>
          <w:szCs w:val="32"/>
          <w:highlight w:val="none"/>
          <w:lang w:val="en-US" w:eastAsia="zh-CN"/>
        </w:rPr>
        <w:t>.</w:t>
      </w:r>
      <w:r>
        <w:rPr>
          <w:rFonts w:hint="eastAsia" w:ascii="Times New Roman" w:hAnsi="Times New Roman" w:cs="Times New Roman"/>
          <w:b/>
          <w:bCs/>
          <w:sz w:val="32"/>
          <w:szCs w:val="32"/>
          <w:highlight w:val="none"/>
          <w:lang w:val="en-US" w:eastAsia="zh-CN"/>
        </w:rPr>
        <w:t>产出指标</w:t>
      </w:r>
    </w:p>
    <w:p w14:paraId="1C70711C">
      <w:pPr>
        <w:pageBreakBefore w:val="0"/>
        <w:kinsoku/>
        <w:wordWrap/>
        <w:overflowPunct/>
        <w:topLinePunct w:val="0"/>
        <w:bidi w:val="0"/>
        <w:snapToGrid/>
        <w:spacing w:line="576" w:lineRule="exact"/>
        <w:ind w:firstLine="640"/>
        <w:textAlignment w:val="auto"/>
        <w:rPr>
          <w:rFonts w:hint="eastAsia" w:cs="Times New Roman"/>
          <w:sz w:val="32"/>
          <w:highlight w:val="none"/>
          <w:lang w:val="en-US" w:eastAsia="zh-CN"/>
        </w:rPr>
      </w:pPr>
      <w:r>
        <w:rPr>
          <w:rFonts w:hint="eastAsia" w:cs="Times New Roman"/>
          <w:sz w:val="32"/>
          <w:highlight w:val="none"/>
          <w:lang w:val="en-US" w:eastAsia="zh-CN"/>
        </w:rPr>
        <w:t>（1）数量指标：小型水库白蚁等害堤动物日常检查座数15座、堤防白蚁等害堤动物日常检查长度141.13公里；</w:t>
      </w:r>
    </w:p>
    <w:p w14:paraId="58DD4FAD">
      <w:pPr>
        <w:pageBreakBefore w:val="0"/>
        <w:kinsoku/>
        <w:wordWrap/>
        <w:overflowPunct/>
        <w:topLinePunct w:val="0"/>
        <w:bidi w:val="0"/>
        <w:snapToGrid/>
        <w:spacing w:line="576" w:lineRule="exact"/>
        <w:ind w:firstLine="640"/>
        <w:textAlignment w:val="auto"/>
        <w:rPr>
          <w:rFonts w:hint="eastAsia" w:cs="Times New Roman"/>
          <w:sz w:val="32"/>
          <w:highlight w:val="none"/>
          <w:lang w:val="en-US" w:eastAsia="zh-CN"/>
        </w:rPr>
      </w:pPr>
      <w:r>
        <w:rPr>
          <w:rFonts w:hint="eastAsia" w:cs="Times New Roman"/>
          <w:sz w:val="32"/>
          <w:highlight w:val="none"/>
          <w:lang w:val="en-US" w:eastAsia="zh-CN"/>
        </w:rPr>
        <w:t>（2）质量指标：截至2025年6月底完工项目初步验收率为100%，工程验收合格率100%，已建工程不存在质量问题；</w:t>
      </w:r>
    </w:p>
    <w:p w14:paraId="6230ED81">
      <w:pPr>
        <w:pageBreakBefore w:val="0"/>
        <w:kinsoku/>
        <w:wordWrap/>
        <w:overflowPunct/>
        <w:topLinePunct w:val="0"/>
        <w:bidi w:val="0"/>
        <w:snapToGrid/>
        <w:spacing w:line="576" w:lineRule="exact"/>
        <w:ind w:firstLine="640"/>
        <w:textAlignment w:val="auto"/>
        <w:rPr>
          <w:rFonts w:hint="eastAsia" w:cs="Times New Roman"/>
          <w:sz w:val="32"/>
          <w:highlight w:val="none"/>
          <w:lang w:val="en-US" w:eastAsia="zh-CN"/>
        </w:rPr>
      </w:pPr>
      <w:r>
        <w:rPr>
          <w:rFonts w:hint="eastAsia" w:cs="Times New Roman"/>
          <w:sz w:val="32"/>
          <w:highlight w:val="none"/>
          <w:lang w:val="en-US" w:eastAsia="zh-CN"/>
        </w:rPr>
        <w:t>（3）时效指标：截至2024年底投资完成比例100%、截至2025年6月底投资完成比例100%。</w:t>
      </w:r>
    </w:p>
    <w:p w14:paraId="26A200B4">
      <w:pPr>
        <w:pageBreakBefore w:val="0"/>
        <w:widowControl w:val="0"/>
        <w:kinsoku/>
        <w:wordWrap/>
        <w:overflowPunct/>
        <w:topLinePunct w:val="0"/>
        <w:bidi w:val="0"/>
        <w:snapToGrid/>
        <w:spacing w:line="576" w:lineRule="exact"/>
        <w:ind w:firstLine="640"/>
        <w:textAlignment w:val="auto"/>
        <w:outlineLvl w:val="2"/>
        <w:rPr>
          <w:rFonts w:hint="default" w:ascii="Times New Roman" w:hAnsi="Times New Roman" w:cs="Times New Roman"/>
          <w:b/>
          <w:bCs/>
          <w:sz w:val="32"/>
          <w:szCs w:val="32"/>
          <w:highlight w:val="none"/>
          <w:lang w:val="en-US" w:eastAsia="zh"/>
        </w:rPr>
      </w:pPr>
      <w:r>
        <w:rPr>
          <w:rFonts w:hint="default" w:ascii="Times New Roman" w:hAnsi="Times New Roman" w:cs="Times New Roman"/>
          <w:b/>
          <w:bCs/>
          <w:sz w:val="32"/>
          <w:szCs w:val="32"/>
          <w:highlight w:val="none"/>
          <w:lang w:val="en-US" w:eastAsia="zh"/>
        </w:rPr>
        <w:t>2</w:t>
      </w:r>
      <w:r>
        <w:rPr>
          <w:rFonts w:hint="eastAsia" w:cs="Times New Roman"/>
          <w:b/>
          <w:bCs/>
          <w:sz w:val="32"/>
          <w:szCs w:val="32"/>
          <w:highlight w:val="none"/>
          <w:lang w:val="en-US" w:eastAsia="zh-CN"/>
        </w:rPr>
        <w:t>.</w:t>
      </w:r>
      <w:r>
        <w:rPr>
          <w:rFonts w:hint="default" w:ascii="Times New Roman" w:hAnsi="Times New Roman" w:cs="Times New Roman"/>
          <w:b/>
          <w:bCs/>
          <w:sz w:val="32"/>
          <w:szCs w:val="32"/>
          <w:highlight w:val="none"/>
          <w:lang w:val="en-US" w:eastAsia="zh"/>
        </w:rPr>
        <w:t>效益指标</w:t>
      </w:r>
    </w:p>
    <w:p w14:paraId="698C0CA3">
      <w:pPr>
        <w:keepNext w:val="0"/>
        <w:keepLines w:val="0"/>
        <w:pageBreakBefore w:val="0"/>
        <w:widowControl/>
        <w:kinsoku/>
        <w:wordWrap/>
        <w:overflowPunct/>
        <w:topLinePunct w:val="0"/>
        <w:autoSpaceDE/>
        <w:autoSpaceDN/>
        <w:bidi w:val="0"/>
        <w:adjustRightInd/>
        <w:snapToGrid/>
        <w:spacing w:line="576" w:lineRule="exact"/>
        <w:ind w:left="0" w:leftChars="0" w:firstLine="640" w:firstLineChars="200"/>
        <w:textAlignment w:val="auto"/>
        <w:rPr>
          <w:rFonts w:hint="eastAsia" w:cs="Times New Roman"/>
          <w:sz w:val="32"/>
          <w:highlight w:val="none"/>
          <w:lang w:val="en-US" w:eastAsia="zh-CN"/>
        </w:rPr>
      </w:pPr>
      <w:r>
        <w:rPr>
          <w:rFonts w:hint="eastAsia" w:cs="Times New Roman"/>
          <w:sz w:val="32"/>
          <w:highlight w:val="none"/>
          <w:lang w:val="en-US" w:eastAsia="zh-CN"/>
        </w:rPr>
        <w:t>可持续影响指标：已建工程良性运行，工程能达到设计使用年限。</w:t>
      </w:r>
    </w:p>
    <w:p w14:paraId="54C32A08">
      <w:pPr>
        <w:pageBreakBefore w:val="0"/>
        <w:widowControl w:val="0"/>
        <w:kinsoku/>
        <w:wordWrap/>
        <w:overflowPunct/>
        <w:topLinePunct w:val="0"/>
        <w:bidi w:val="0"/>
        <w:snapToGrid/>
        <w:spacing w:line="576" w:lineRule="exact"/>
        <w:ind w:firstLine="640"/>
        <w:textAlignment w:val="auto"/>
        <w:outlineLvl w:val="2"/>
        <w:rPr>
          <w:rFonts w:hint="default" w:ascii="Times New Roman" w:hAnsi="Times New Roman" w:cs="Times New Roman"/>
          <w:b/>
          <w:bCs/>
          <w:sz w:val="32"/>
          <w:szCs w:val="32"/>
          <w:highlight w:val="none"/>
          <w:lang w:val="en-US" w:eastAsia="zh-CN"/>
        </w:rPr>
      </w:pPr>
      <w:r>
        <w:rPr>
          <w:rFonts w:hint="default" w:ascii="Times New Roman" w:hAnsi="Times New Roman" w:cs="Times New Roman"/>
          <w:b/>
          <w:bCs/>
          <w:sz w:val="32"/>
          <w:szCs w:val="32"/>
          <w:highlight w:val="none"/>
          <w:lang w:val="en-US" w:eastAsia="zh-CN"/>
        </w:rPr>
        <w:t>3</w:t>
      </w:r>
      <w:r>
        <w:rPr>
          <w:rFonts w:hint="eastAsia" w:cs="Times New Roman"/>
          <w:b/>
          <w:bCs/>
          <w:sz w:val="32"/>
          <w:szCs w:val="32"/>
          <w:highlight w:val="none"/>
          <w:lang w:val="en-US" w:eastAsia="zh-CN"/>
        </w:rPr>
        <w:t>.</w:t>
      </w:r>
      <w:r>
        <w:rPr>
          <w:rFonts w:hint="default" w:ascii="Times New Roman" w:hAnsi="Times New Roman" w:cs="Times New Roman"/>
          <w:b/>
          <w:bCs/>
          <w:sz w:val="32"/>
          <w:szCs w:val="32"/>
          <w:highlight w:val="none"/>
          <w:lang w:val="en-US" w:eastAsia="zh-CN"/>
        </w:rPr>
        <w:t>满意度指标</w:t>
      </w:r>
    </w:p>
    <w:p w14:paraId="661AA74C">
      <w:pPr>
        <w:pageBreakBefore w:val="0"/>
        <w:kinsoku/>
        <w:wordWrap/>
        <w:overflowPunct/>
        <w:topLinePunct w:val="0"/>
        <w:bidi w:val="0"/>
        <w:snapToGrid/>
        <w:spacing w:line="576" w:lineRule="exact"/>
        <w:ind w:firstLine="640"/>
        <w:textAlignment w:val="auto"/>
        <w:rPr>
          <w:rFonts w:hint="default" w:cs="Times New Roman"/>
          <w:sz w:val="32"/>
          <w:highlight w:val="none"/>
          <w:lang w:val="en-US" w:eastAsia="zh-CN"/>
        </w:rPr>
      </w:pPr>
      <w:r>
        <w:rPr>
          <w:rFonts w:hint="default" w:cs="Times New Roman"/>
          <w:sz w:val="32"/>
          <w:highlight w:val="none"/>
          <w:lang w:val="en-US" w:eastAsia="zh-CN"/>
        </w:rPr>
        <w:t>受益群众满意度≥90%。</w:t>
      </w:r>
    </w:p>
    <w:p w14:paraId="5CE4B205">
      <w:pPr>
        <w:pStyle w:val="4"/>
        <w:pageBreakBefore w:val="0"/>
        <w:widowControl/>
        <w:kinsoku/>
        <w:wordWrap/>
        <w:overflowPunct/>
        <w:topLinePunct w:val="0"/>
        <w:autoSpaceDE/>
        <w:autoSpaceDN/>
        <w:bidi w:val="0"/>
        <w:adjustRightInd/>
        <w:snapToGrid/>
        <w:spacing w:line="576" w:lineRule="exact"/>
        <w:ind w:firstLine="643"/>
        <w:textAlignment w:val="auto"/>
        <w:rPr>
          <w:rFonts w:hint="default" w:ascii="Times New Roman" w:hAnsi="Times New Roman" w:eastAsia="楷体_GB2312" w:cs="Times New Roman"/>
          <w:b/>
          <w:bCs w:val="0"/>
          <w:sz w:val="32"/>
          <w:highlight w:val="none"/>
        </w:rPr>
      </w:pPr>
      <w:r>
        <w:rPr>
          <w:rFonts w:hint="default" w:ascii="Times New Roman" w:hAnsi="Times New Roman" w:eastAsia="楷体_GB2312" w:cs="Times New Roman"/>
          <w:b/>
          <w:bCs w:val="0"/>
          <w:sz w:val="32"/>
          <w:highlight w:val="none"/>
        </w:rPr>
        <w:t>（二）预算和绩效目标分解情况</w:t>
      </w:r>
    </w:p>
    <w:p w14:paraId="01311B1F">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1.资金分配情况</w:t>
      </w:r>
    </w:p>
    <w:p w14:paraId="77AD59BE">
      <w:pPr>
        <w:keepNext w:val="0"/>
        <w:keepLines w:val="0"/>
        <w:pageBreakBefore w:val="0"/>
        <w:widowControl/>
        <w:kinsoku/>
        <w:wordWrap/>
        <w:overflowPunct/>
        <w:topLinePunct w:val="0"/>
        <w:autoSpaceDE/>
        <w:autoSpaceDN/>
        <w:bidi w:val="0"/>
        <w:adjustRightInd/>
        <w:snapToGrid/>
        <w:spacing w:line="576" w:lineRule="exact"/>
        <w:ind w:firstLine="640"/>
        <w:textAlignment w:val="auto"/>
        <w:rPr>
          <w:sz w:val="32"/>
          <w:highlight w:val="none"/>
        </w:rPr>
      </w:pPr>
      <w:r>
        <w:rPr>
          <w:rFonts w:hint="eastAsia" w:cs="Times New Roman"/>
          <w:sz w:val="32"/>
          <w:highlight w:val="none"/>
        </w:rPr>
        <w:t>为全面落实开展预算绩效管理工作，规范政府部门财政支出预算绩效管理，</w:t>
      </w:r>
      <w:r>
        <w:rPr>
          <w:rFonts w:hint="eastAsia" w:ascii="Times New Roman" w:hAnsi="Times New Roman" w:cs="Times New Roman"/>
          <w:sz w:val="32"/>
          <w:highlight w:val="none"/>
          <w:u w:val="none"/>
        </w:rPr>
        <w:t>我区</w:t>
      </w:r>
      <w:r>
        <w:rPr>
          <w:rFonts w:hint="eastAsia" w:cs="Times New Roman"/>
          <w:sz w:val="32"/>
          <w:highlight w:val="none"/>
        </w:rPr>
        <w:t>制定的相关资金管理办法主要有：《江门市蓬江区政府性资金重大政策和项目绩效审核专责小组事前绩效管理工作机制（修订稿）》《蓬江区财政资金事前绩效评估管理实施细则》《蓬江区本级专项资金管理办法》。</w:t>
      </w:r>
    </w:p>
    <w:p w14:paraId="5FFC2887">
      <w:pPr>
        <w:pageBreakBefore w:val="0"/>
        <w:widowControl/>
        <w:kinsoku/>
        <w:wordWrap/>
        <w:overflowPunct/>
        <w:topLinePunct w:val="0"/>
        <w:bidi w:val="0"/>
        <w:snapToGrid/>
        <w:spacing w:line="576" w:lineRule="exact"/>
        <w:ind w:firstLine="640"/>
        <w:textAlignment w:val="auto"/>
        <w:rPr>
          <w:rFonts w:hint="eastAsia" w:cs="Times New Roman"/>
          <w:sz w:val="32"/>
          <w:highlight w:val="none"/>
        </w:rPr>
      </w:pPr>
      <w:r>
        <w:rPr>
          <w:rFonts w:hint="eastAsia" w:cs="Times New Roman"/>
          <w:sz w:val="32"/>
          <w:highlight w:val="none"/>
        </w:rPr>
        <w:t>根据《</w:t>
      </w:r>
      <w:r>
        <w:rPr>
          <w:rFonts w:hint="eastAsia" w:cs="Times New Roman"/>
          <w:sz w:val="32"/>
          <w:highlight w:val="none"/>
          <w:u w:val="none"/>
        </w:rPr>
        <w:t>广东省财政厅关于提前下达2024年中央水利发展资金预算的通知</w:t>
      </w:r>
      <w:r>
        <w:rPr>
          <w:rFonts w:hint="eastAsia" w:cs="Times New Roman"/>
          <w:sz w:val="32"/>
          <w:highlight w:val="none"/>
        </w:rPr>
        <w:t>》（</w:t>
      </w:r>
      <w:r>
        <w:rPr>
          <w:rFonts w:hint="eastAsia" w:cs="Times New Roman"/>
          <w:sz w:val="32"/>
          <w:highlight w:val="none"/>
          <w:u w:val="none"/>
        </w:rPr>
        <w:t>粤财农〔2023〕187号</w:t>
      </w:r>
      <w:r>
        <w:rPr>
          <w:rFonts w:hint="eastAsia" w:cs="Times New Roman"/>
          <w:sz w:val="32"/>
          <w:highlight w:val="none"/>
        </w:rPr>
        <w:t>），</w:t>
      </w:r>
      <w:r>
        <w:rPr>
          <w:rFonts w:hint="eastAsia" w:cs="Times New Roman"/>
          <w:sz w:val="32"/>
          <w:highlight w:val="none"/>
          <w:u w:val="none"/>
        </w:rPr>
        <w:t>《江门市财政局关于下达2024年中央水利发展资金预算的通知》（江财农〔2023〕148号）</w:t>
      </w:r>
      <w:r>
        <w:rPr>
          <w:rFonts w:hint="eastAsia" w:cs="Times New Roman"/>
          <w:sz w:val="32"/>
          <w:highlight w:val="none"/>
        </w:rPr>
        <w:t>，</w:t>
      </w:r>
      <w:r>
        <w:rPr>
          <w:rFonts w:hint="eastAsia" w:cs="Times New Roman"/>
          <w:sz w:val="32"/>
          <w:highlight w:val="none"/>
          <w:lang w:val="en-US" w:eastAsia="zh-CN"/>
        </w:rPr>
        <w:t>2024</w:t>
      </w:r>
      <w:r>
        <w:rPr>
          <w:rFonts w:cs="Times New Roman"/>
          <w:sz w:val="32"/>
          <w:highlight w:val="none"/>
        </w:rPr>
        <w:t>年中央水利发展资金下达</w:t>
      </w:r>
      <w:r>
        <w:rPr>
          <w:rFonts w:hint="eastAsia" w:ascii="Times New Roman" w:hAnsi="Times New Roman" w:cs="Times New Roman"/>
          <w:sz w:val="32"/>
          <w:highlight w:val="none"/>
          <w:u w:val="none"/>
        </w:rPr>
        <w:t>我区</w:t>
      </w:r>
      <w:r>
        <w:rPr>
          <w:rFonts w:hint="eastAsia" w:cs="Times New Roman"/>
          <w:sz w:val="32"/>
          <w:highlight w:val="none"/>
        </w:rPr>
        <w:t>的资金预算为17万元，资金支出类别为：白蚁防治17万元。</w:t>
      </w:r>
    </w:p>
    <w:p w14:paraId="6A4B138A">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2.预算和绩效目标省内分解下达情况</w:t>
      </w:r>
    </w:p>
    <w:p w14:paraId="06559368">
      <w:pPr>
        <w:keepNext w:val="0"/>
        <w:keepLines w:val="0"/>
        <w:pageBreakBefore w:val="0"/>
        <w:widowControl/>
        <w:kinsoku/>
        <w:wordWrap/>
        <w:overflowPunct/>
        <w:topLinePunct w:val="0"/>
        <w:autoSpaceDE/>
        <w:autoSpaceDN/>
        <w:bidi w:val="0"/>
        <w:adjustRightInd/>
        <w:snapToGrid/>
        <w:spacing w:line="576" w:lineRule="exact"/>
        <w:ind w:firstLine="640"/>
        <w:textAlignment w:val="auto"/>
        <w:rPr>
          <w:rFonts w:hint="eastAsia" w:eastAsia="仿宋_GB2312" w:cs="Times New Roman"/>
          <w:sz w:val="32"/>
          <w:highlight w:val="none"/>
          <w:lang w:val="en-US" w:eastAsia="zh-CN"/>
        </w:rPr>
      </w:pPr>
      <w:r>
        <w:rPr>
          <w:rFonts w:hint="eastAsia" w:cs="Times New Roman"/>
          <w:sz w:val="32"/>
          <w:highlight w:val="none"/>
          <w:u w:val="none"/>
          <w:lang w:val="en-US" w:eastAsia="zh-CN"/>
        </w:rPr>
        <w:t>2023</w:t>
      </w:r>
      <w:r>
        <w:rPr>
          <w:rFonts w:hint="eastAsia" w:cs="Times New Roman"/>
          <w:sz w:val="32"/>
          <w:highlight w:val="none"/>
          <w:u w:val="none"/>
        </w:rPr>
        <w:t>年</w:t>
      </w:r>
      <w:r>
        <w:rPr>
          <w:rFonts w:hint="eastAsia" w:cs="Times New Roman"/>
          <w:sz w:val="32"/>
          <w:highlight w:val="none"/>
          <w:u w:val="none"/>
          <w:lang w:val="en-US" w:eastAsia="zh-CN"/>
        </w:rPr>
        <w:t>12</w:t>
      </w:r>
      <w:r>
        <w:rPr>
          <w:rFonts w:hint="eastAsia" w:cs="Times New Roman"/>
          <w:sz w:val="32"/>
          <w:highlight w:val="none"/>
          <w:u w:val="none"/>
        </w:rPr>
        <w:t>月</w:t>
      </w:r>
      <w:r>
        <w:rPr>
          <w:rFonts w:hint="eastAsia" w:cs="Times New Roman"/>
          <w:sz w:val="32"/>
          <w:highlight w:val="none"/>
          <w:u w:val="none"/>
          <w:lang w:val="en-US" w:eastAsia="zh-CN"/>
        </w:rPr>
        <w:t>21</w:t>
      </w:r>
      <w:r>
        <w:rPr>
          <w:rFonts w:hint="eastAsia" w:cs="Times New Roman"/>
          <w:sz w:val="32"/>
          <w:highlight w:val="none"/>
          <w:u w:val="none"/>
        </w:rPr>
        <w:t>日，《江门市财政局关于下达2024年中央水利发展资金预算的通知》（江财农〔2023〕148号）</w:t>
      </w:r>
      <w:r>
        <w:rPr>
          <w:rFonts w:hint="eastAsia" w:cs="Times New Roman"/>
          <w:sz w:val="32"/>
          <w:highlight w:val="none"/>
        </w:rPr>
        <w:t>已将资金和绩效目标下达至</w:t>
      </w:r>
      <w:r>
        <w:rPr>
          <w:rFonts w:hint="eastAsia" w:ascii="Times New Roman" w:hAnsi="Times New Roman" w:cs="Times New Roman"/>
          <w:sz w:val="32"/>
          <w:highlight w:val="none"/>
          <w:u w:val="none"/>
        </w:rPr>
        <w:t>我区</w:t>
      </w:r>
      <w:r>
        <w:rPr>
          <w:rFonts w:hint="eastAsia" w:cs="Times New Roman"/>
          <w:sz w:val="32"/>
          <w:highlight w:val="none"/>
        </w:rPr>
        <w:t>。</w:t>
      </w:r>
      <w:r>
        <w:rPr>
          <w:rFonts w:hint="eastAsia" w:cs="Times New Roman"/>
          <w:sz w:val="32"/>
          <w:highlight w:val="none"/>
          <w:u w:val="none"/>
          <w:lang w:val="en-US" w:eastAsia="zh-CN"/>
        </w:rPr>
        <w:t>2024</w:t>
      </w:r>
      <w:r>
        <w:rPr>
          <w:rFonts w:hint="eastAsia" w:cs="Times New Roman"/>
          <w:sz w:val="32"/>
          <w:highlight w:val="none"/>
          <w:u w:val="none"/>
        </w:rPr>
        <w:t>年</w:t>
      </w:r>
      <w:r>
        <w:rPr>
          <w:rFonts w:hint="eastAsia" w:cs="Times New Roman"/>
          <w:sz w:val="32"/>
          <w:highlight w:val="none"/>
          <w:u w:val="none"/>
          <w:lang w:val="en-US" w:eastAsia="zh-CN"/>
        </w:rPr>
        <w:t>1</w:t>
      </w:r>
      <w:r>
        <w:rPr>
          <w:rFonts w:hint="eastAsia" w:cs="Times New Roman"/>
          <w:sz w:val="32"/>
          <w:highlight w:val="none"/>
          <w:u w:val="none"/>
        </w:rPr>
        <w:t>月</w:t>
      </w:r>
      <w:r>
        <w:rPr>
          <w:rFonts w:hint="eastAsia" w:cs="Times New Roman"/>
          <w:sz w:val="32"/>
          <w:highlight w:val="none"/>
          <w:u w:val="none"/>
          <w:lang w:val="en-US" w:eastAsia="zh-CN"/>
        </w:rPr>
        <w:t>3</w:t>
      </w:r>
      <w:r>
        <w:rPr>
          <w:rFonts w:hint="eastAsia" w:cs="Times New Roman"/>
          <w:sz w:val="32"/>
          <w:highlight w:val="none"/>
          <w:u w:val="none"/>
        </w:rPr>
        <w:t>日，</w:t>
      </w:r>
      <w:r>
        <w:rPr>
          <w:rFonts w:hint="eastAsia" w:cs="Times New Roman"/>
          <w:sz w:val="32"/>
          <w:highlight w:val="none"/>
        </w:rPr>
        <w:t>《</w:t>
      </w:r>
      <w:r>
        <w:rPr>
          <w:rFonts w:hint="eastAsia" w:cs="Times New Roman"/>
          <w:sz w:val="32"/>
          <w:highlight w:val="none"/>
          <w:u w:val="none"/>
        </w:rPr>
        <w:t>关于下达2024年中央水利发展资金预算的通知</w:t>
      </w:r>
      <w:r>
        <w:rPr>
          <w:rFonts w:hint="eastAsia" w:cs="Times New Roman"/>
          <w:sz w:val="32"/>
          <w:highlight w:val="none"/>
        </w:rPr>
        <w:t>》（</w:t>
      </w:r>
      <w:r>
        <w:rPr>
          <w:rFonts w:hint="eastAsia" w:cs="Times New Roman"/>
          <w:sz w:val="32"/>
          <w:highlight w:val="none"/>
          <w:u w:val="none"/>
          <w:lang w:val="en-US" w:eastAsia="zh-CN"/>
        </w:rPr>
        <w:t>蓬财农业便〔2024〕4号</w:t>
      </w:r>
      <w:r>
        <w:rPr>
          <w:rFonts w:hint="eastAsia" w:cs="Times New Roman"/>
          <w:sz w:val="32"/>
          <w:highlight w:val="none"/>
        </w:rPr>
        <w:t>）将资金和绩效目标进行进一步分解。</w:t>
      </w:r>
      <w:r>
        <w:rPr>
          <w:rFonts w:hint="eastAsia" w:cs="Times New Roman"/>
          <w:sz w:val="32"/>
          <w:highlight w:val="none"/>
          <w:lang w:val="en-US" w:eastAsia="zh-CN"/>
        </w:rPr>
        <w:t>各资金支出</w:t>
      </w:r>
      <w:r>
        <w:rPr>
          <w:rFonts w:hint="eastAsia" w:cs="Times New Roman"/>
          <w:sz w:val="32"/>
          <w:highlight w:val="none"/>
        </w:rPr>
        <w:t>方向</w:t>
      </w:r>
      <w:r>
        <w:rPr>
          <w:rFonts w:hint="eastAsia" w:cs="Times New Roman"/>
          <w:sz w:val="32"/>
          <w:highlight w:val="none"/>
          <w:lang w:val="en-US" w:eastAsia="zh-CN"/>
        </w:rPr>
        <w:t>的下达金额见</w:t>
      </w:r>
      <w:r>
        <w:rPr>
          <w:rFonts w:hint="eastAsia" w:cs="Times New Roman"/>
          <w:sz w:val="32"/>
          <w:highlight w:val="none"/>
        </w:rPr>
        <w:t>下表。</w:t>
      </w:r>
    </w:p>
    <w:p w14:paraId="058AA498">
      <w:pPr>
        <w:pageBreakBefore w:val="0"/>
        <w:kinsoku/>
        <w:wordWrap/>
        <w:overflowPunct/>
        <w:topLinePunct w:val="0"/>
        <w:bidi w:val="0"/>
        <w:snapToGrid/>
        <w:spacing w:line="576" w:lineRule="exact"/>
        <w:ind w:firstLine="0" w:firstLineChars="0"/>
        <w:jc w:val="center"/>
        <w:textAlignment w:val="auto"/>
        <w:rPr>
          <w:rFonts w:cs="Times New Roman"/>
          <w:b w:val="0"/>
          <w:bCs w:val="0"/>
          <w:highlight w:val="none"/>
        </w:rPr>
      </w:pPr>
      <w:r>
        <w:rPr>
          <w:rFonts w:hint="eastAsia" w:cs="Times New Roman"/>
          <w:b w:val="0"/>
          <w:bCs w:val="0"/>
          <w:highlight w:val="none"/>
        </w:rPr>
        <w:t>表</w:t>
      </w:r>
      <w:r>
        <w:rPr>
          <w:rFonts w:cs="Times New Roman"/>
          <w:b w:val="0"/>
          <w:bCs w:val="0"/>
          <w:highlight w:val="none"/>
        </w:rPr>
        <w:t xml:space="preserve">1  </w:t>
      </w:r>
      <w:r>
        <w:rPr>
          <w:rFonts w:hint="eastAsia" w:cs="Times New Roman"/>
          <w:b w:val="0"/>
          <w:bCs w:val="0"/>
          <w:highlight w:val="none"/>
        </w:rPr>
        <w:t>江门市蓬江区</w:t>
      </w:r>
      <w:r>
        <w:rPr>
          <w:rFonts w:cs="Times New Roman"/>
          <w:b w:val="0"/>
          <w:bCs w:val="0"/>
          <w:highlight w:val="none"/>
        </w:rPr>
        <w:t>20</w:t>
      </w:r>
      <w:r>
        <w:rPr>
          <w:rFonts w:hint="eastAsia" w:cs="Times New Roman"/>
          <w:b w:val="0"/>
          <w:bCs w:val="0"/>
          <w:highlight w:val="none"/>
          <w:lang w:val="en-US" w:eastAsia="zh-CN"/>
        </w:rPr>
        <w:t>24</w:t>
      </w:r>
      <w:r>
        <w:rPr>
          <w:rFonts w:hint="eastAsia" w:cs="Times New Roman"/>
          <w:b w:val="0"/>
          <w:bCs w:val="0"/>
          <w:highlight w:val="none"/>
        </w:rPr>
        <w:t>年度中央水利发展资金分解下达统计表</w:t>
      </w:r>
    </w:p>
    <w:tbl>
      <w:tblPr>
        <w:tblStyle w:val="13"/>
        <w:tblW w:w="465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2"/>
        <w:gridCol w:w="4290"/>
        <w:gridCol w:w="1937"/>
        <w:gridCol w:w="1172"/>
      </w:tblGrid>
      <w:tr w14:paraId="749FD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atLeast"/>
          <w:jc w:val="center"/>
        </w:trPr>
        <w:tc>
          <w:tcPr>
            <w:tcW w:w="560" w:type="pct"/>
            <w:vAlign w:val="center"/>
          </w:tcPr>
          <w:p w14:paraId="0CCE5A96">
            <w:pPr>
              <w:pStyle w:val="32"/>
              <w:keepNext w:val="0"/>
              <w:keepLines w:val="0"/>
              <w:pageBreakBefore w:val="0"/>
              <w:suppressLineNumbers w:val="0"/>
              <w:kinsoku/>
              <w:wordWrap/>
              <w:overflowPunct/>
              <w:topLinePunct w:val="0"/>
              <w:bidi w:val="0"/>
              <w:snapToGrid/>
              <w:spacing w:before="0" w:beforeAutospacing="0" w:after="0" w:afterAutospacing="0" w:line="576" w:lineRule="exact"/>
              <w:ind w:left="0" w:right="0"/>
              <w:jc w:val="center"/>
              <w:textAlignment w:val="auto"/>
              <w:rPr>
                <w:rFonts w:hint="default" w:ascii="Times New Roman" w:hAnsi="Times New Roman" w:eastAsia="仿宋_GB2312"/>
                <w:b w:val="0"/>
                <w:bCs w:val="0"/>
                <w:color w:val="auto"/>
                <w:kern w:val="2"/>
                <w:sz w:val="21"/>
                <w:szCs w:val="21"/>
                <w:highlight w:val="none"/>
              </w:rPr>
            </w:pPr>
            <w:r>
              <w:rPr>
                <w:rFonts w:hint="default" w:ascii="Times New Roman" w:hAnsi="Times New Roman" w:eastAsia="仿宋_GB2312"/>
                <w:b w:val="0"/>
                <w:bCs w:val="0"/>
                <w:color w:val="auto"/>
                <w:kern w:val="2"/>
                <w:sz w:val="21"/>
                <w:szCs w:val="21"/>
                <w:highlight w:val="none"/>
              </w:rPr>
              <w:t>序号</w:t>
            </w:r>
          </w:p>
        </w:tc>
        <w:tc>
          <w:tcPr>
            <w:tcW w:w="2574" w:type="pct"/>
            <w:vAlign w:val="center"/>
          </w:tcPr>
          <w:p w14:paraId="62E53106">
            <w:pPr>
              <w:pStyle w:val="32"/>
              <w:keepNext w:val="0"/>
              <w:keepLines w:val="0"/>
              <w:pageBreakBefore w:val="0"/>
              <w:suppressLineNumbers w:val="0"/>
              <w:kinsoku/>
              <w:wordWrap/>
              <w:overflowPunct/>
              <w:topLinePunct w:val="0"/>
              <w:bidi w:val="0"/>
              <w:snapToGrid/>
              <w:spacing w:before="0" w:beforeAutospacing="0" w:after="0" w:afterAutospacing="0" w:line="576" w:lineRule="exact"/>
              <w:ind w:left="0" w:right="0"/>
              <w:jc w:val="center"/>
              <w:textAlignment w:val="auto"/>
              <w:rPr>
                <w:rFonts w:hint="default" w:ascii="Times New Roman" w:hAnsi="Times New Roman" w:eastAsia="仿宋_GB2312"/>
                <w:b w:val="0"/>
                <w:bCs w:val="0"/>
                <w:color w:val="auto"/>
                <w:kern w:val="2"/>
                <w:sz w:val="21"/>
                <w:szCs w:val="21"/>
                <w:highlight w:val="none"/>
              </w:rPr>
            </w:pPr>
            <w:r>
              <w:rPr>
                <w:rFonts w:hint="default" w:ascii="Times New Roman" w:hAnsi="Times New Roman" w:eastAsia="仿宋_GB2312"/>
                <w:b w:val="0"/>
                <w:bCs w:val="0"/>
                <w:color w:val="auto"/>
                <w:kern w:val="2"/>
                <w:sz w:val="21"/>
                <w:szCs w:val="21"/>
                <w:highlight w:val="none"/>
              </w:rPr>
              <w:t>资金支出方向</w:t>
            </w:r>
          </w:p>
        </w:tc>
        <w:tc>
          <w:tcPr>
            <w:tcW w:w="1162" w:type="pct"/>
            <w:vAlign w:val="center"/>
          </w:tcPr>
          <w:p w14:paraId="12F8745A">
            <w:pPr>
              <w:pStyle w:val="32"/>
              <w:keepNext w:val="0"/>
              <w:keepLines w:val="0"/>
              <w:pageBreakBefore w:val="0"/>
              <w:suppressLineNumbers w:val="0"/>
              <w:kinsoku/>
              <w:wordWrap/>
              <w:overflowPunct/>
              <w:topLinePunct w:val="0"/>
              <w:bidi w:val="0"/>
              <w:snapToGrid/>
              <w:spacing w:before="0" w:beforeAutospacing="0" w:after="0" w:afterAutospacing="0" w:line="576" w:lineRule="exact"/>
              <w:ind w:left="0" w:right="0"/>
              <w:jc w:val="center"/>
              <w:textAlignment w:val="auto"/>
              <w:rPr>
                <w:rFonts w:hint="default" w:ascii="Times New Roman" w:hAnsi="Times New Roman" w:eastAsia="仿宋_GB2312"/>
                <w:b w:val="0"/>
                <w:bCs w:val="0"/>
                <w:color w:val="auto"/>
                <w:kern w:val="2"/>
                <w:sz w:val="21"/>
                <w:szCs w:val="21"/>
                <w:highlight w:val="none"/>
              </w:rPr>
            </w:pPr>
            <w:r>
              <w:rPr>
                <w:rFonts w:hint="default" w:ascii="Times New Roman" w:hAnsi="Times New Roman" w:eastAsia="仿宋_GB2312"/>
                <w:b w:val="0"/>
                <w:bCs w:val="0"/>
                <w:color w:val="auto"/>
                <w:kern w:val="2"/>
                <w:sz w:val="21"/>
                <w:szCs w:val="21"/>
                <w:highlight w:val="none"/>
              </w:rPr>
              <w:t>金额（万元）</w:t>
            </w:r>
          </w:p>
        </w:tc>
        <w:tc>
          <w:tcPr>
            <w:tcW w:w="703" w:type="pct"/>
            <w:vAlign w:val="center"/>
          </w:tcPr>
          <w:p w14:paraId="41446F11">
            <w:pPr>
              <w:pStyle w:val="32"/>
              <w:keepNext w:val="0"/>
              <w:keepLines w:val="0"/>
              <w:pageBreakBefore w:val="0"/>
              <w:suppressLineNumbers w:val="0"/>
              <w:kinsoku/>
              <w:wordWrap/>
              <w:overflowPunct/>
              <w:topLinePunct w:val="0"/>
              <w:bidi w:val="0"/>
              <w:snapToGrid/>
              <w:spacing w:before="0" w:beforeAutospacing="0" w:after="0" w:afterAutospacing="0" w:line="576" w:lineRule="exact"/>
              <w:ind w:left="0" w:right="0"/>
              <w:jc w:val="center"/>
              <w:textAlignment w:val="auto"/>
              <w:rPr>
                <w:rFonts w:hint="default" w:ascii="Times New Roman" w:hAnsi="Times New Roman" w:eastAsia="仿宋_GB2312"/>
                <w:b w:val="0"/>
                <w:bCs w:val="0"/>
                <w:color w:val="auto"/>
                <w:kern w:val="2"/>
                <w:sz w:val="21"/>
                <w:szCs w:val="21"/>
                <w:highlight w:val="none"/>
              </w:rPr>
            </w:pPr>
            <w:r>
              <w:rPr>
                <w:rFonts w:hint="default" w:ascii="Times New Roman" w:hAnsi="Times New Roman" w:eastAsia="仿宋_GB2312"/>
                <w:b w:val="0"/>
                <w:bCs w:val="0"/>
                <w:color w:val="auto"/>
                <w:kern w:val="2"/>
                <w:sz w:val="21"/>
                <w:szCs w:val="21"/>
                <w:highlight w:val="none"/>
              </w:rPr>
              <w:t>备注</w:t>
            </w:r>
          </w:p>
        </w:tc>
      </w:tr>
      <w:tr w14:paraId="54F7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Borders>
              <w:top w:val="single" w:color="auto" w:sz="4" w:space="0"/>
              <w:left w:val="single" w:color="auto" w:sz="4" w:space="0"/>
              <w:bottom w:val="single" w:color="auto" w:sz="4" w:space="0"/>
              <w:right w:val="single" w:color="auto" w:sz="4" w:space="0"/>
            </w:tcBorders>
          </w:tcPr>
          <w:p w14:paraId="27C5C8FB">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jc w:val="center"/>
              <w:textAlignment w:val="auto"/>
              <w:rPr>
                <w:rFonts w:hint="default"/>
              </w:rPr>
            </w:pPr>
            <w:r>
              <w:rPr>
                <w:rFonts w:hint="default" w:ascii="仿宋_GB2312" w:hAnsi="仿宋_GB2312" w:eastAsia="仿宋_GB2312" w:cs="仿宋_GB2312"/>
                <w:sz w:val="18"/>
              </w:rPr>
              <w:t>1</w:t>
            </w:r>
          </w:p>
        </w:tc>
        <w:tc>
          <w:tcPr>
            <w:tcBorders>
              <w:top w:val="single" w:color="auto" w:sz="4" w:space="0"/>
              <w:left w:val="single" w:color="auto" w:sz="4" w:space="0"/>
              <w:bottom w:val="single" w:color="auto" w:sz="4" w:space="0"/>
              <w:right w:val="single" w:color="auto" w:sz="4" w:space="0"/>
            </w:tcBorders>
          </w:tcPr>
          <w:p w14:paraId="1805E7AE">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jc w:val="center"/>
              <w:textAlignment w:val="auto"/>
              <w:rPr>
                <w:rFonts w:hint="default"/>
              </w:rPr>
            </w:pPr>
            <w:r>
              <w:rPr>
                <w:rFonts w:hint="default" w:ascii="仿宋_GB2312" w:hAnsi="仿宋_GB2312" w:eastAsia="仿宋_GB2312" w:cs="仿宋_GB2312"/>
                <w:sz w:val="18"/>
              </w:rPr>
              <w:t>白蚁防治</w:t>
            </w:r>
          </w:p>
        </w:tc>
        <w:tc>
          <w:tcPr>
            <w:tcBorders>
              <w:top w:val="single" w:color="auto" w:sz="4" w:space="0"/>
              <w:left w:val="single" w:color="auto" w:sz="4" w:space="0"/>
              <w:bottom w:val="single" w:color="auto" w:sz="4" w:space="0"/>
              <w:right w:val="single" w:color="auto" w:sz="4" w:space="0"/>
            </w:tcBorders>
          </w:tcPr>
          <w:p w14:paraId="5BA3A6B9">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jc w:val="center"/>
              <w:textAlignment w:val="auto"/>
              <w:rPr>
                <w:rFonts w:hint="default"/>
              </w:rPr>
            </w:pPr>
            <w:r>
              <w:rPr>
                <w:rFonts w:hint="default" w:ascii="仿宋_GB2312" w:hAnsi="仿宋_GB2312" w:eastAsia="仿宋_GB2312" w:cs="仿宋_GB2312"/>
                <w:sz w:val="18"/>
              </w:rPr>
              <w:t>17</w:t>
            </w:r>
          </w:p>
        </w:tc>
        <w:tc>
          <w:tcPr>
            <w:tcBorders>
              <w:top w:val="single" w:color="auto" w:sz="4" w:space="0"/>
              <w:left w:val="single" w:color="auto" w:sz="4" w:space="0"/>
              <w:bottom w:val="single" w:color="auto" w:sz="4" w:space="0"/>
              <w:right w:val="single" w:color="auto" w:sz="4" w:space="0"/>
            </w:tcBorders>
          </w:tcPr>
          <w:p w14:paraId="73EB1DF6">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jc w:val="center"/>
              <w:textAlignment w:val="auto"/>
              <w:rPr>
                <w:rFonts w:hint="default"/>
              </w:rPr>
            </w:pPr>
          </w:p>
        </w:tc>
      </w:tr>
    </w:tbl>
    <w:p w14:paraId="6E9D05E2">
      <w:pPr>
        <w:pageBreakBefore w:val="0"/>
        <w:kinsoku/>
        <w:wordWrap/>
        <w:overflowPunct/>
        <w:topLinePunct w:val="0"/>
        <w:bidi w:val="0"/>
        <w:snapToGrid/>
        <w:spacing w:line="576" w:lineRule="exact"/>
        <w:ind w:firstLine="640"/>
        <w:textAlignment w:val="auto"/>
        <w:rPr>
          <w:rFonts w:hint="eastAsia" w:eastAsia="仿宋_GB2312" w:cs="Times New Roman"/>
          <w:sz w:val="32"/>
          <w:highlight w:val="none"/>
          <w:lang w:val="en-US" w:eastAsia="zh-CN"/>
        </w:rPr>
      </w:pPr>
      <w:r>
        <w:rPr>
          <w:rFonts w:hint="eastAsia" w:cs="Times New Roman"/>
          <w:sz w:val="32"/>
          <w:highlight w:val="none"/>
        </w:rPr>
        <w:t>根据</w:t>
      </w:r>
      <w:r>
        <w:rPr>
          <w:rFonts w:hint="eastAsia" w:cs="Times New Roman"/>
          <w:sz w:val="32"/>
          <w:highlight w:val="none"/>
          <w:u w:val="none"/>
        </w:rPr>
        <w:t>《江门市财政局关于下达2024年中央水利发展资金预算的通知》（江财农〔2023〕148号）</w:t>
      </w:r>
      <w:r>
        <w:rPr>
          <w:rFonts w:hint="eastAsia" w:cs="Times New Roman"/>
          <w:sz w:val="32"/>
          <w:highlight w:val="none"/>
        </w:rPr>
        <w:t>绩效目标为：小型水库白蚁等害堤动物日常检查座数15座、堤防白蚁等害堤动物日常检查长度141.13公里。</w:t>
      </w:r>
    </w:p>
    <w:p w14:paraId="5B6CC26F">
      <w:pPr>
        <w:pStyle w:val="4"/>
        <w:pageBreakBefore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楷体_GB2312" w:cs="Times New Roman"/>
          <w:b/>
          <w:bCs w:val="0"/>
          <w:sz w:val="32"/>
          <w:highlight w:val="none"/>
        </w:rPr>
      </w:pPr>
      <w:r>
        <w:rPr>
          <w:rFonts w:hint="default" w:ascii="Times New Roman" w:hAnsi="Times New Roman" w:eastAsia="楷体_GB2312" w:cs="Times New Roman"/>
          <w:b/>
          <w:bCs w:val="0"/>
          <w:sz w:val="32"/>
          <w:highlight w:val="none"/>
        </w:rPr>
        <w:t>（三）实施项目情况</w:t>
      </w:r>
    </w:p>
    <w:p w14:paraId="45C91C78">
      <w:pPr>
        <w:pStyle w:val="32"/>
        <w:keepNext w:val="0"/>
        <w:keepLines w:val="0"/>
        <w:pageBreakBefore w:val="0"/>
        <w:widowControl w:val="0"/>
        <w:kinsoku/>
        <w:wordWrap/>
        <w:overflowPunct/>
        <w:topLinePunct w:val="0"/>
        <w:autoSpaceDE w:val="0"/>
        <w:autoSpaceDN w:val="0"/>
        <w:bidi w:val="0"/>
        <w:adjustRightInd w:val="0"/>
        <w:snapToGrid/>
        <w:spacing w:after="0" w:line="576" w:lineRule="exact"/>
        <w:ind w:left="0" w:leftChars="0" w:firstLine="640" w:firstLineChars="200"/>
        <w:textAlignment w:val="auto"/>
        <w:rPr>
          <w:rFonts w:hint="default" w:ascii="Times New Roman" w:hAnsi="Times New Roman" w:eastAsia="仿宋_GB2312"/>
          <w:color w:val="auto"/>
          <w:kern w:val="2"/>
          <w:sz w:val="32"/>
          <w:highlight w:val="none"/>
          <w:u w:val="none"/>
        </w:rPr>
      </w:pPr>
      <w:r>
        <w:rPr>
          <w:rFonts w:hint="eastAsia" w:ascii="Times New Roman" w:hAnsi="Times New Roman" w:eastAsia="仿宋_GB2312"/>
          <w:color w:val="auto"/>
          <w:kern w:val="2"/>
          <w:sz w:val="32"/>
          <w:highlight w:val="none"/>
          <w:lang w:val="en-US" w:eastAsia="zh-CN"/>
        </w:rPr>
        <w:t>2024</w:t>
      </w:r>
      <w:r>
        <w:rPr>
          <w:rFonts w:ascii="Times New Roman" w:hAnsi="Times New Roman" w:eastAsia="仿宋_GB2312"/>
          <w:color w:val="auto"/>
          <w:kern w:val="2"/>
          <w:sz w:val="32"/>
          <w:highlight w:val="none"/>
        </w:rPr>
        <w:t>年度，</w:t>
      </w:r>
      <w:r>
        <w:rPr>
          <w:rFonts w:hint="eastAsia" w:ascii="Times New Roman" w:hAnsi="Times New Roman" w:eastAsia="仿宋_GB2312"/>
          <w:color w:val="auto"/>
          <w:kern w:val="2"/>
          <w:sz w:val="32"/>
          <w:highlight w:val="none"/>
        </w:rPr>
        <w:t>我区</w:t>
      </w:r>
      <w:r>
        <w:rPr>
          <w:rFonts w:ascii="Times New Roman" w:hAnsi="Times New Roman" w:eastAsia="仿宋_GB2312"/>
          <w:color w:val="auto"/>
          <w:kern w:val="2"/>
          <w:sz w:val="32"/>
          <w:highlight w:val="none"/>
          <w:u w:val="none"/>
        </w:rPr>
        <w:t>中央水利发展资金实施项目为</w:t>
      </w:r>
      <w:r>
        <w:rPr>
          <w:rFonts w:hint="eastAsia" w:ascii="Times New Roman" w:hAnsi="Times New Roman" w:eastAsia="仿宋_GB2312"/>
          <w:color w:val="auto"/>
          <w:kern w:val="2"/>
          <w:sz w:val="32"/>
          <w:highlight w:val="none"/>
          <w:u w:val="none"/>
          <w:lang w:val="en-US" w:eastAsia="zh-CN"/>
        </w:rPr>
        <w:t>1</w:t>
      </w:r>
      <w:r>
        <w:rPr>
          <w:rFonts w:ascii="Times New Roman" w:hAnsi="Times New Roman" w:eastAsia="仿宋_GB2312"/>
          <w:color w:val="auto"/>
          <w:kern w:val="2"/>
          <w:sz w:val="32"/>
          <w:highlight w:val="none"/>
        </w:rPr>
        <w:t>宗。</w:t>
      </w:r>
      <w:r>
        <w:rPr>
          <w:rFonts w:hint="default" w:ascii="Times New Roman" w:hAnsi="Times New Roman" w:eastAsia="仿宋_GB2312"/>
          <w:color w:val="auto"/>
          <w:kern w:val="2"/>
          <w:sz w:val="32"/>
          <w:highlight w:val="none"/>
          <w:u w:val="none"/>
        </w:rPr>
        <w:cr/>
      </w:r>
      <w:r>
        <w:rPr>
          <w:rFonts w:hint="default" w:ascii="Times New Roman" w:hAnsi="Times New Roman" w:eastAsia="仿宋_GB2312"/>
          <w:color w:val="auto"/>
          <w:kern w:val="2"/>
          <w:sz w:val="32"/>
          <w:highlight w:val="none"/>
          <w:u w:val="none"/>
        </w:rPr>
        <w:t xml:space="preserve">    1</w:t>
      </w:r>
      <w:r>
        <w:rPr>
          <w:rFonts w:hint="eastAsia" w:ascii="Times New Roman" w:hAnsi="Times New Roman" w:eastAsia="仿宋_GB2312"/>
          <w:color w:val="auto"/>
          <w:kern w:val="2"/>
          <w:sz w:val="32"/>
          <w:highlight w:val="none"/>
          <w:u w:val="none"/>
          <w:lang w:val="en-US" w:eastAsia="zh-CN"/>
        </w:rPr>
        <w:t>.</w:t>
      </w:r>
      <w:r>
        <w:rPr>
          <w:rFonts w:hint="default" w:ascii="Times New Roman" w:hAnsi="Times New Roman" w:eastAsia="仿宋_GB2312"/>
          <w:color w:val="auto"/>
          <w:kern w:val="2"/>
          <w:sz w:val="32"/>
          <w:highlight w:val="none"/>
          <w:u w:val="none"/>
        </w:rPr>
        <w:t>2024年蓬江区白蚁等害堤动物防治：主要建设内容为：开展白蚁等害堤</w:t>
      </w:r>
      <w:r>
        <w:rPr>
          <w:rFonts w:hint="eastAsia" w:ascii="Times New Roman" w:hAnsi="Times New Roman" w:eastAsia="仿宋_GB2312"/>
          <w:color w:val="auto"/>
          <w:kern w:val="2"/>
          <w:sz w:val="32"/>
          <w:highlight w:val="none"/>
          <w:u w:val="none"/>
          <w:lang w:eastAsia="zh-CN"/>
        </w:rPr>
        <w:t>生物防治</w:t>
      </w:r>
      <w:r>
        <w:rPr>
          <w:rFonts w:hint="default" w:ascii="Times New Roman" w:hAnsi="Times New Roman" w:eastAsia="仿宋_GB2312"/>
          <w:color w:val="auto"/>
          <w:kern w:val="2"/>
          <w:sz w:val="32"/>
          <w:highlight w:val="none"/>
          <w:u w:val="none"/>
        </w:rPr>
        <w:t>，下达2024年度中央资金17万，项目于2024年10月31日完工，2024年11月1日完成验收。</w:t>
      </w:r>
    </w:p>
    <w:p w14:paraId="2810C4A8">
      <w:pPr>
        <w:pStyle w:val="32"/>
        <w:keepNext w:val="0"/>
        <w:keepLines w:val="0"/>
        <w:pageBreakBefore w:val="0"/>
        <w:widowControl w:val="0"/>
        <w:kinsoku/>
        <w:wordWrap/>
        <w:overflowPunct/>
        <w:topLinePunct w:val="0"/>
        <w:autoSpaceDE w:val="0"/>
        <w:autoSpaceDN w:val="0"/>
        <w:bidi w:val="0"/>
        <w:adjustRightInd w:val="0"/>
        <w:snapToGrid/>
        <w:spacing w:after="0" w:line="576" w:lineRule="exact"/>
        <w:ind w:left="0" w:leftChars="0" w:firstLine="643" w:firstLineChars="200"/>
        <w:textAlignment w:val="auto"/>
        <w:rPr>
          <w:rFonts w:hint="default" w:ascii="Times New Roman" w:hAnsi="Times New Roman" w:eastAsia="楷体_GB2312" w:cs="Times New Roman"/>
          <w:b/>
          <w:bCs w:val="0"/>
          <w:sz w:val="32"/>
          <w:highlight w:val="none"/>
        </w:rPr>
      </w:pPr>
      <w:r>
        <w:rPr>
          <w:rFonts w:hint="default" w:ascii="Times New Roman" w:hAnsi="Times New Roman" w:eastAsia="楷体_GB2312" w:cs="Times New Roman"/>
          <w:b/>
          <w:bCs w:val="0"/>
          <w:sz w:val="32"/>
          <w:highlight w:val="none"/>
        </w:rPr>
        <w:t>（四）各级政府支出责任履行情况</w:t>
      </w:r>
    </w:p>
    <w:p w14:paraId="5C3205F2">
      <w:pPr>
        <w:pStyle w:val="4"/>
        <w:pageBreakBefore w:val="0"/>
        <w:kinsoku/>
        <w:wordWrap/>
        <w:overflowPunct/>
        <w:topLinePunct w:val="0"/>
        <w:autoSpaceDE/>
        <w:autoSpaceDN/>
        <w:bidi w:val="0"/>
        <w:adjustRightInd/>
        <w:snapToGrid/>
        <w:spacing w:line="576" w:lineRule="exact"/>
        <w:ind w:firstLine="643"/>
        <w:textAlignment w:val="auto"/>
        <w:rPr>
          <w:rFonts w:hint="default" w:ascii="Times New Roman" w:hAnsi="Times New Roman" w:cs="Times New Roman"/>
          <w:sz w:val="32"/>
          <w:highlight w:val="none"/>
          <w:u w:val="none"/>
        </w:rPr>
      </w:pPr>
      <w:r>
        <w:rPr>
          <w:rFonts w:hint="default" w:ascii="Times New Roman" w:hAnsi="Times New Roman" w:cs="Times New Roman"/>
          <w:sz w:val="32"/>
          <w:highlight w:val="none"/>
          <w:u w:val="none"/>
        </w:rPr>
        <w:t>我区建立了较为完善的中央水利发展资金管理制度，明确了资金的申请、审批、拨付、使用、监督和评估等各个环节的职责和要求。同时，加强对资金使用情况的监督和检查，确保资金使用的合规性和有效性。并根据资金下达文件及绩效目标，同时，加强对项目实施的监督和管理，确保项目按照既定的目标、进度和质量要求完成。</w:t>
      </w:r>
    </w:p>
    <w:p w14:paraId="531A35B4">
      <w:pPr>
        <w:pStyle w:val="4"/>
        <w:pageBreakBefore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楷体_GB2312" w:cs="Times New Roman"/>
          <w:b/>
          <w:bCs w:val="0"/>
          <w:sz w:val="32"/>
          <w:highlight w:val="none"/>
        </w:rPr>
      </w:pPr>
      <w:r>
        <w:rPr>
          <w:rFonts w:hint="default" w:ascii="Times New Roman" w:hAnsi="Times New Roman" w:eastAsia="楷体_GB2312" w:cs="Times New Roman"/>
          <w:b/>
          <w:bCs w:val="0"/>
          <w:sz w:val="32"/>
          <w:highlight w:val="none"/>
        </w:rPr>
        <w:t>（五）多渠道筹集资金情况</w:t>
      </w:r>
    </w:p>
    <w:p w14:paraId="28C362A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cs="Times New Roman"/>
          <w:sz w:val="32"/>
          <w:highlight w:val="none"/>
          <w:u w:val="none"/>
          <w:lang w:val="en-US" w:eastAsia="zh-CN"/>
        </w:rPr>
      </w:pPr>
      <w:r>
        <w:rPr>
          <w:rFonts w:hint="eastAsia" w:cs="Times New Roman"/>
          <w:sz w:val="32"/>
          <w:highlight w:val="none"/>
          <w:u w:val="none"/>
          <w:lang w:val="en-US" w:eastAsia="zh-CN"/>
        </w:rPr>
        <w:t>无。</w:t>
      </w:r>
    </w:p>
    <w:p w14:paraId="36B86D3C">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黑体" w:cs="Times New Roman"/>
          <w:b w:val="0"/>
          <w:bCs w:val="0"/>
          <w:sz w:val="32"/>
          <w:highlight w:val="none"/>
        </w:rPr>
      </w:pPr>
      <w:r>
        <w:rPr>
          <w:rFonts w:hint="default" w:ascii="Times New Roman" w:hAnsi="Times New Roman" w:eastAsia="黑体" w:cs="Times New Roman"/>
          <w:b w:val="0"/>
          <w:bCs w:val="0"/>
          <w:sz w:val="32"/>
          <w:highlight w:val="none"/>
        </w:rPr>
        <w:t>二、绩效自评工作开展情况</w:t>
      </w:r>
    </w:p>
    <w:p w14:paraId="0F3E004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楷体_GB2312" w:cs="Times New Roman"/>
          <w:b/>
          <w:bCs w:val="0"/>
          <w:sz w:val="32"/>
          <w:highlight w:val="none"/>
        </w:rPr>
      </w:pPr>
      <w:r>
        <w:rPr>
          <w:rFonts w:hint="default" w:ascii="Times New Roman" w:hAnsi="Times New Roman" w:eastAsia="楷体_GB2312" w:cs="Times New Roman"/>
          <w:b/>
          <w:bCs w:val="0"/>
          <w:sz w:val="32"/>
          <w:highlight w:val="none"/>
        </w:rPr>
        <w:t>（一）自评依据</w:t>
      </w:r>
    </w:p>
    <w:p w14:paraId="04614CD9">
      <w:pPr>
        <w:pageBreakBefore w:val="0"/>
        <w:kinsoku/>
        <w:wordWrap/>
        <w:overflowPunct/>
        <w:topLinePunct w:val="0"/>
        <w:bidi w:val="0"/>
        <w:snapToGrid/>
        <w:spacing w:line="576" w:lineRule="exact"/>
        <w:ind w:firstLine="640"/>
        <w:textAlignment w:val="auto"/>
        <w:rPr>
          <w:rFonts w:ascii="Times New Roman" w:hAnsi="Times New Roman"/>
          <w:sz w:val="32"/>
          <w:highlight w:val="none"/>
        </w:rPr>
      </w:pPr>
      <w:r>
        <w:rPr>
          <w:rFonts w:hint="eastAsia" w:ascii="仿宋_GB2312" w:hAnsi="仿宋_GB2312" w:cs="Times New Roman"/>
          <w:sz w:val="32"/>
          <w:highlight w:val="none"/>
        </w:rPr>
        <w:t>本次绩效评价按照</w:t>
      </w:r>
      <w:r>
        <w:rPr>
          <w:rFonts w:hint="eastAsia" w:ascii="Times New Roman" w:hAnsi="Times New Roman"/>
          <w:sz w:val="32"/>
          <w:szCs w:val="32"/>
          <w:highlight w:val="none"/>
        </w:rPr>
        <w:t>《财政部</w:t>
      </w:r>
      <w:r>
        <w:rPr>
          <w:rFonts w:ascii="Times New Roman" w:hAnsi="Times New Roman"/>
          <w:sz w:val="32"/>
          <w:szCs w:val="32"/>
          <w:highlight w:val="none"/>
        </w:rPr>
        <w:t xml:space="preserve"> </w:t>
      </w:r>
      <w:r>
        <w:rPr>
          <w:rFonts w:hint="eastAsia" w:ascii="Times New Roman" w:hAnsi="Times New Roman"/>
          <w:sz w:val="32"/>
          <w:szCs w:val="32"/>
          <w:highlight w:val="none"/>
        </w:rPr>
        <w:t>水利部关于印发</w:t>
      </w:r>
      <w:r>
        <w:rPr>
          <w:rFonts w:hint="eastAsia" w:ascii="汉仪平安行粗简" w:hAnsi="汉仪平安行粗简" w:eastAsia="汉仪平安行粗简" w:cs="汉仪平安行粗简"/>
          <w:sz w:val="32"/>
          <w:szCs w:val="32"/>
          <w:highlight w:val="none"/>
          <w:lang w:val="en-US" w:eastAsia="zh-CN"/>
        </w:rPr>
        <w:t>&lt;</w:t>
      </w:r>
      <w:r>
        <w:rPr>
          <w:rFonts w:hint="eastAsia" w:ascii="Times New Roman" w:hAnsi="Times New Roman"/>
          <w:sz w:val="32"/>
          <w:szCs w:val="32"/>
          <w:highlight w:val="none"/>
        </w:rPr>
        <w:t>水利发展资金管理办法</w:t>
      </w:r>
      <w:r>
        <w:rPr>
          <w:rFonts w:hint="eastAsia"/>
          <w:sz w:val="32"/>
          <w:szCs w:val="32"/>
          <w:highlight w:val="none"/>
          <w:lang w:eastAsia="zh-CN"/>
        </w:rPr>
        <w:t>〉的通知》</w:t>
      </w:r>
      <w:r>
        <w:rPr>
          <w:rFonts w:hint="eastAsia" w:ascii="Times New Roman" w:hAnsi="Times New Roman"/>
          <w:sz w:val="32"/>
          <w:szCs w:val="32"/>
          <w:highlight w:val="none"/>
        </w:rPr>
        <w:t>（财农〔</w:t>
      </w:r>
      <w:r>
        <w:rPr>
          <w:rFonts w:ascii="Times New Roman" w:hAnsi="Times New Roman"/>
          <w:sz w:val="32"/>
          <w:szCs w:val="32"/>
          <w:highlight w:val="none"/>
        </w:rPr>
        <w:t>2022</w:t>
      </w:r>
      <w:r>
        <w:rPr>
          <w:rFonts w:hint="eastAsia" w:ascii="Times New Roman" w:hAnsi="Times New Roman"/>
          <w:sz w:val="32"/>
          <w:szCs w:val="32"/>
          <w:highlight w:val="none"/>
        </w:rPr>
        <w:t>〕</w:t>
      </w:r>
      <w:r>
        <w:rPr>
          <w:rFonts w:ascii="Times New Roman" w:hAnsi="Times New Roman"/>
          <w:sz w:val="32"/>
          <w:szCs w:val="32"/>
          <w:highlight w:val="none"/>
        </w:rPr>
        <w:t>81</w:t>
      </w:r>
      <w:r>
        <w:rPr>
          <w:rFonts w:hint="eastAsia" w:ascii="Times New Roman" w:hAnsi="Times New Roman"/>
          <w:sz w:val="32"/>
          <w:szCs w:val="32"/>
          <w:highlight w:val="none"/>
        </w:rPr>
        <w:t>号）</w:t>
      </w:r>
      <w:r>
        <w:rPr>
          <w:rFonts w:ascii="仿宋_GB2312" w:hAnsi="仿宋_GB2312" w:cs="Times New Roman"/>
          <w:sz w:val="32"/>
          <w:highlight w:val="none"/>
        </w:rPr>
        <w:t>、</w:t>
      </w:r>
      <w:r>
        <w:rPr>
          <w:rFonts w:hint="eastAsia" w:ascii="Times New Roman" w:hAnsi="Times New Roman"/>
          <w:sz w:val="32"/>
          <w:szCs w:val="32"/>
          <w:highlight w:val="none"/>
        </w:rPr>
        <w:t>《广东省财政厅</w:t>
      </w:r>
      <w:r>
        <w:rPr>
          <w:rFonts w:ascii="Times New Roman" w:hAnsi="Times New Roman"/>
          <w:sz w:val="32"/>
          <w:szCs w:val="32"/>
          <w:highlight w:val="none"/>
        </w:rPr>
        <w:t xml:space="preserve"> </w:t>
      </w:r>
      <w:r>
        <w:rPr>
          <w:rFonts w:hint="eastAsia" w:ascii="Times New Roman" w:hAnsi="Times New Roman"/>
          <w:sz w:val="32"/>
          <w:szCs w:val="32"/>
          <w:highlight w:val="none"/>
        </w:rPr>
        <w:t>广东省水利厅关于印发广东省中央财政水利发展资金使用管理实施细则的通知》（粤财农〔</w:t>
      </w:r>
      <w:r>
        <w:rPr>
          <w:rFonts w:ascii="Times New Roman" w:hAnsi="Times New Roman"/>
          <w:sz w:val="32"/>
          <w:szCs w:val="32"/>
          <w:highlight w:val="none"/>
        </w:rPr>
        <w:t>2023</w:t>
      </w:r>
      <w:r>
        <w:rPr>
          <w:rFonts w:hint="eastAsia" w:ascii="Times New Roman" w:hAnsi="Times New Roman"/>
          <w:sz w:val="32"/>
          <w:szCs w:val="32"/>
          <w:highlight w:val="none"/>
        </w:rPr>
        <w:t>〕</w:t>
      </w:r>
      <w:r>
        <w:rPr>
          <w:rFonts w:ascii="Times New Roman" w:hAnsi="Times New Roman"/>
          <w:sz w:val="32"/>
          <w:szCs w:val="32"/>
          <w:highlight w:val="none"/>
        </w:rPr>
        <w:t>1</w:t>
      </w:r>
      <w:r>
        <w:rPr>
          <w:rFonts w:hint="eastAsia" w:ascii="Times New Roman" w:hAnsi="Times New Roman"/>
          <w:sz w:val="32"/>
          <w:szCs w:val="32"/>
          <w:highlight w:val="none"/>
        </w:rPr>
        <w:t>号）、《广东省中央财政水利发展资金绩效管理实施细则》（粤财农〔</w:t>
      </w:r>
      <w:r>
        <w:rPr>
          <w:rFonts w:ascii="Times New Roman" w:hAnsi="Times New Roman"/>
          <w:sz w:val="32"/>
          <w:szCs w:val="32"/>
          <w:highlight w:val="none"/>
        </w:rPr>
        <w:t>2018</w:t>
      </w:r>
      <w:r>
        <w:rPr>
          <w:rFonts w:hint="eastAsia" w:ascii="Times New Roman" w:hAnsi="Times New Roman"/>
          <w:sz w:val="32"/>
          <w:szCs w:val="32"/>
          <w:highlight w:val="none"/>
        </w:rPr>
        <w:t>〕</w:t>
      </w:r>
      <w:r>
        <w:rPr>
          <w:rFonts w:ascii="Times New Roman" w:hAnsi="Times New Roman"/>
          <w:sz w:val="32"/>
          <w:szCs w:val="32"/>
          <w:highlight w:val="none"/>
        </w:rPr>
        <w:t>312</w:t>
      </w:r>
      <w:r>
        <w:rPr>
          <w:rFonts w:hint="eastAsia" w:ascii="Times New Roman" w:hAnsi="Times New Roman"/>
          <w:sz w:val="32"/>
          <w:szCs w:val="32"/>
          <w:highlight w:val="none"/>
        </w:rPr>
        <w:t>号）</w:t>
      </w:r>
      <w:r>
        <w:rPr>
          <w:rFonts w:ascii="仿宋_GB2312" w:hAnsi="仿宋_GB2312" w:cs="Times New Roman"/>
          <w:sz w:val="32"/>
          <w:highlight w:val="none"/>
        </w:rPr>
        <w:t>、</w:t>
      </w:r>
      <w:r>
        <w:rPr>
          <w:rFonts w:hint="eastAsia" w:ascii="Times New Roman" w:hAnsi="Times New Roman" w:cs="Times New Roman"/>
          <w:sz w:val="32"/>
          <w:highlight w:val="none"/>
        </w:rPr>
        <w:t>《广东省水利厅</w:t>
      </w:r>
      <w:r>
        <w:rPr>
          <w:rFonts w:hint="eastAsia" w:ascii="Times New Roman" w:hAnsi="Times New Roman" w:cs="Times New Roman"/>
          <w:sz w:val="32"/>
          <w:highlight w:val="none"/>
          <w:lang w:val="en-US" w:eastAsia="zh-CN"/>
        </w:rPr>
        <w:t xml:space="preserve"> </w:t>
      </w:r>
      <w:r>
        <w:rPr>
          <w:rFonts w:hint="eastAsia" w:ascii="Times New Roman" w:hAnsi="Times New Roman" w:cs="Times New Roman"/>
          <w:sz w:val="32"/>
          <w:highlight w:val="none"/>
        </w:rPr>
        <w:t>广东省财政厅关于开展202</w:t>
      </w:r>
      <w:r>
        <w:rPr>
          <w:rFonts w:hint="eastAsia" w:cs="Times New Roman"/>
          <w:sz w:val="32"/>
          <w:highlight w:val="none"/>
          <w:lang w:val="en-US" w:eastAsia="zh-CN"/>
        </w:rPr>
        <w:t>4</w:t>
      </w:r>
      <w:r>
        <w:rPr>
          <w:rFonts w:hint="eastAsia" w:ascii="Times New Roman" w:hAnsi="Times New Roman" w:cs="Times New Roman"/>
          <w:sz w:val="32"/>
          <w:highlight w:val="none"/>
        </w:rPr>
        <w:t>年度水利发展资金绩效评价工作的通知》（粤水财务函〔202</w:t>
      </w:r>
      <w:r>
        <w:rPr>
          <w:rFonts w:hint="eastAsia" w:cs="Times New Roman"/>
          <w:sz w:val="32"/>
          <w:highlight w:val="none"/>
          <w:lang w:val="en-US" w:eastAsia="zh-CN"/>
        </w:rPr>
        <w:t>5</w:t>
      </w:r>
      <w:r>
        <w:rPr>
          <w:rFonts w:hint="eastAsia" w:ascii="Times New Roman" w:hAnsi="Times New Roman" w:cs="Times New Roman"/>
          <w:sz w:val="32"/>
          <w:highlight w:val="none"/>
        </w:rPr>
        <w:t>〕</w:t>
      </w:r>
      <w:r>
        <w:rPr>
          <w:rFonts w:hint="eastAsia" w:cs="Times New Roman"/>
          <w:sz w:val="32"/>
          <w:highlight w:val="none"/>
          <w:lang w:val="en-US" w:eastAsia="zh-CN"/>
        </w:rPr>
        <w:t>711</w:t>
      </w:r>
      <w:r>
        <w:rPr>
          <w:rFonts w:hint="eastAsia" w:ascii="Times New Roman" w:hAnsi="Times New Roman" w:cs="Times New Roman"/>
          <w:sz w:val="32"/>
          <w:highlight w:val="none"/>
        </w:rPr>
        <w:t>号）</w:t>
      </w:r>
      <w:r>
        <w:rPr>
          <w:rFonts w:hint="eastAsia" w:ascii="仿宋_GB2312" w:hAnsi="仿宋_GB2312" w:cs="Times New Roman"/>
          <w:sz w:val="32"/>
          <w:highlight w:val="none"/>
        </w:rPr>
        <w:t>等文件要求开展</w:t>
      </w:r>
      <w:r>
        <w:rPr>
          <w:rFonts w:hint="eastAsia" w:ascii="Times New Roman" w:hAnsi="Times New Roman" w:cs="Times New Roman"/>
          <w:sz w:val="32"/>
          <w:highlight w:val="none"/>
        </w:rPr>
        <w:t>，</w:t>
      </w:r>
      <w:r>
        <w:rPr>
          <w:rFonts w:hint="eastAsia" w:ascii="Times New Roman" w:hAnsi="Times New Roman" w:eastAsia="仿宋_GB2312"/>
          <w:color w:val="auto"/>
          <w:kern w:val="2"/>
          <w:sz w:val="32"/>
          <w:highlight w:val="none"/>
        </w:rPr>
        <w:t>我区</w:t>
      </w:r>
      <w:r>
        <w:rPr>
          <w:rFonts w:hint="eastAsia" w:ascii="Times New Roman" w:hAnsi="Times New Roman" w:cs="Times New Roman"/>
          <w:sz w:val="32"/>
          <w:highlight w:val="none"/>
        </w:rPr>
        <w:t>对202</w:t>
      </w:r>
      <w:r>
        <w:rPr>
          <w:rFonts w:hint="eastAsia" w:cs="Times New Roman"/>
          <w:sz w:val="32"/>
          <w:highlight w:val="none"/>
          <w:lang w:val="en-US" w:eastAsia="zh-CN"/>
        </w:rPr>
        <w:t>4</w:t>
      </w:r>
      <w:r>
        <w:rPr>
          <w:rFonts w:hint="eastAsia" w:ascii="Times New Roman" w:hAnsi="Times New Roman" w:cs="Times New Roman"/>
          <w:sz w:val="32"/>
          <w:highlight w:val="none"/>
        </w:rPr>
        <w:t>年中央水利发展资金安排的17万元开展了资金使用绩效自评，并形成自评报告。</w:t>
      </w:r>
    </w:p>
    <w:p w14:paraId="2C4FB19E">
      <w:pPr>
        <w:pStyle w:val="4"/>
        <w:pageBreakBefore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楷体_GB2312" w:cs="Times New Roman"/>
          <w:b/>
          <w:bCs w:val="0"/>
          <w:sz w:val="32"/>
          <w:highlight w:val="none"/>
        </w:rPr>
      </w:pPr>
      <w:r>
        <w:rPr>
          <w:rFonts w:hint="default" w:ascii="Times New Roman" w:hAnsi="Times New Roman" w:eastAsia="楷体_GB2312" w:cs="Times New Roman"/>
          <w:b/>
          <w:bCs w:val="0"/>
          <w:sz w:val="32"/>
          <w:highlight w:val="none"/>
        </w:rPr>
        <w:t>（二）自评方式</w:t>
      </w:r>
    </w:p>
    <w:p w14:paraId="473D206B">
      <w:pPr>
        <w:pStyle w:val="4"/>
        <w:keepNext/>
        <w:keepLines/>
        <w:pageBreakBefore w:val="0"/>
        <w:widowControl/>
        <w:kinsoku/>
        <w:wordWrap/>
        <w:overflowPunct/>
        <w:topLinePunct w:val="0"/>
        <w:autoSpaceDE/>
        <w:autoSpaceDN/>
        <w:bidi w:val="0"/>
        <w:adjustRightInd/>
        <w:snapToGrid/>
        <w:spacing w:line="576" w:lineRule="exact"/>
        <w:ind w:firstLine="643"/>
        <w:textAlignment w:val="auto"/>
        <w:rPr>
          <w:rFonts w:hint="eastAsia" w:ascii="仿宋_GB2312" w:hAnsi="仿宋_GB2312" w:eastAsia="仿宋_GB2312" w:cs="仿宋_GB2312"/>
          <w:sz w:val="32"/>
          <w:highlight w:val="none"/>
          <w:u w:val="none"/>
        </w:rPr>
      </w:pPr>
      <w:r>
        <w:rPr>
          <w:rFonts w:hint="eastAsia" w:ascii="仿宋_GB2312" w:hAnsi="仿宋_GB2312" w:eastAsia="仿宋_GB2312" w:cs="仿宋_GB2312"/>
          <w:sz w:val="32"/>
          <w:highlight w:val="none"/>
          <w:u w:val="none"/>
        </w:rPr>
        <w:t>根据广东省、江门市有关财政支出绩效评价的规定和规划编制项目支出相关内容，遵循“客观、公正、科学、规范”的原则，通过对项目的经济性、效率性、有效性、公平性的比较和分析，检测评价支出效率和支出效果。结合规划编制项目特点，评价方法主要采用目标预定与实施效果比较法，评价指标分析采用定量指标分析。</w:t>
      </w:r>
    </w:p>
    <w:p w14:paraId="308B4732">
      <w:pPr>
        <w:pStyle w:val="4"/>
        <w:keepNext/>
        <w:keepLines/>
        <w:pageBreakBefore w:val="0"/>
        <w:widowControl/>
        <w:kinsoku/>
        <w:wordWrap/>
        <w:overflowPunct/>
        <w:topLinePunct w:val="0"/>
        <w:autoSpaceDE/>
        <w:autoSpaceDN/>
        <w:bidi w:val="0"/>
        <w:adjustRightInd/>
        <w:snapToGrid/>
        <w:spacing w:line="576" w:lineRule="exact"/>
        <w:ind w:firstLine="643"/>
        <w:textAlignment w:val="auto"/>
        <w:rPr>
          <w:rFonts w:hint="default" w:ascii="Times New Roman" w:hAnsi="Times New Roman" w:eastAsia="楷体_GB2312" w:cs="Times New Roman"/>
          <w:b/>
          <w:bCs w:val="0"/>
          <w:sz w:val="32"/>
          <w:highlight w:val="none"/>
        </w:rPr>
      </w:pPr>
      <w:r>
        <w:rPr>
          <w:rFonts w:hint="default" w:ascii="Times New Roman" w:hAnsi="Times New Roman" w:eastAsia="楷体_GB2312" w:cs="Times New Roman"/>
          <w:b/>
          <w:bCs w:val="0"/>
          <w:sz w:val="32"/>
          <w:highlight w:val="none"/>
        </w:rPr>
        <w:t>（三）经验做法</w:t>
      </w:r>
    </w:p>
    <w:p w14:paraId="1BCAC1B1">
      <w:pPr>
        <w:pageBreakBefore w:val="0"/>
        <w:kinsoku/>
        <w:wordWrap/>
        <w:overflowPunct/>
        <w:topLinePunct w:val="0"/>
        <w:bidi w:val="0"/>
        <w:snapToGrid/>
        <w:spacing w:line="576" w:lineRule="exact"/>
        <w:ind w:firstLine="640"/>
        <w:textAlignment w:val="auto"/>
        <w:rPr>
          <w:rFonts w:hint="default" w:ascii="Times New Roman" w:hAnsi="Times New Roman" w:cs="Times New Roman"/>
          <w:sz w:val="32"/>
          <w:highlight w:val="none"/>
          <w:u w:val="none"/>
        </w:rPr>
      </w:pPr>
      <w:r>
        <w:rPr>
          <w:rFonts w:hint="default" w:ascii="Times New Roman" w:hAnsi="Times New Roman" w:cs="Times New Roman"/>
          <w:sz w:val="32"/>
          <w:highlight w:val="none"/>
          <w:u w:val="none"/>
        </w:rPr>
        <w:t>开展中央水利发展资金绩效自评工作在于确立清晰明确的评价目标，确保评价过程遵循科学、公正、客观的原则。首先，明确评价标准和指标，使其既符合中央水利发展资金的使用特点，又具备可衡量性和可操作性。其次，实施规范化的评价流程，从前期准备到数据收集、分析，再到撰写评价报告，每一步都严格按照既定程序进行。同时，强化内部监督与外部反馈机制，确保自评结果的准确性和公正性。此外，应不断探索创新自评方法，提高自评工作的效率和准确性。最后，加强培训与交流，提升自评团队的专业能力和整体水平。这些经验做法共同构成了绩效自评工作的坚实基础，有助于确保中央水利发展资金的高效利用和水利事业的持续健康发展。</w:t>
      </w:r>
    </w:p>
    <w:p w14:paraId="6B02DF4E">
      <w:pPr>
        <w:pStyle w:val="4"/>
        <w:keepNext/>
        <w:keepLines/>
        <w:pageBreakBefore w:val="0"/>
        <w:widowControl/>
        <w:kinsoku/>
        <w:wordWrap/>
        <w:overflowPunct/>
        <w:topLinePunct w:val="0"/>
        <w:autoSpaceDE/>
        <w:autoSpaceDN/>
        <w:bidi w:val="0"/>
        <w:adjustRightInd/>
        <w:snapToGrid/>
        <w:spacing w:line="576" w:lineRule="exact"/>
        <w:ind w:firstLine="643"/>
        <w:textAlignment w:val="auto"/>
        <w:rPr>
          <w:rFonts w:hint="default" w:ascii="Times New Roman" w:hAnsi="Times New Roman" w:eastAsia="楷体_GB2312" w:cs="Times New Roman"/>
          <w:b/>
          <w:bCs w:val="0"/>
          <w:sz w:val="32"/>
          <w:highlight w:val="none"/>
        </w:rPr>
      </w:pPr>
      <w:r>
        <w:rPr>
          <w:rFonts w:hint="default" w:ascii="Times New Roman" w:hAnsi="Times New Roman" w:eastAsia="楷体_GB2312" w:cs="Times New Roman"/>
          <w:b/>
          <w:bCs w:val="0"/>
          <w:sz w:val="32"/>
          <w:highlight w:val="none"/>
        </w:rPr>
        <w:t>（四）问题和建议</w:t>
      </w:r>
    </w:p>
    <w:p w14:paraId="3CACA6D1">
      <w:pPr>
        <w:pStyle w:val="3"/>
        <w:pageBreakBefore w:val="0"/>
        <w:kinsoku/>
        <w:wordWrap/>
        <w:overflowPunct/>
        <w:topLinePunct w:val="0"/>
        <w:autoSpaceDE/>
        <w:autoSpaceDN/>
        <w:bidi w:val="0"/>
        <w:adjustRightInd/>
        <w:snapToGrid/>
        <w:spacing w:line="576" w:lineRule="exact"/>
        <w:ind w:firstLine="640"/>
        <w:textAlignment w:val="auto"/>
        <w:rPr>
          <w:rFonts w:hint="eastAsia" w:ascii="仿宋_GB2312" w:hAnsi="仿宋_GB2312" w:eastAsia="仿宋_GB2312" w:cs="仿宋_GB2312"/>
          <w:b w:val="0"/>
          <w:bCs w:val="0"/>
          <w:sz w:val="32"/>
          <w:highlight w:val="none"/>
          <w:u w:val="none"/>
          <w:lang w:val="en-US" w:eastAsia="zh-CN"/>
        </w:rPr>
      </w:pPr>
      <w:r>
        <w:rPr>
          <w:rFonts w:hint="eastAsia" w:ascii="仿宋_GB2312" w:hAnsi="仿宋_GB2312" w:eastAsia="仿宋_GB2312" w:cs="仿宋_GB2312"/>
          <w:b w:val="0"/>
          <w:bCs w:val="0"/>
          <w:sz w:val="32"/>
          <w:highlight w:val="none"/>
          <w:u w:val="none"/>
          <w:lang w:val="en-US" w:eastAsia="zh-CN"/>
        </w:rPr>
        <w:t>无。</w:t>
      </w:r>
    </w:p>
    <w:p w14:paraId="007AC657">
      <w:pPr>
        <w:pStyle w:val="3"/>
        <w:pageBreakBefore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黑体" w:cs="Times New Roman"/>
          <w:b w:val="0"/>
          <w:bCs w:val="0"/>
          <w:sz w:val="32"/>
          <w:highlight w:val="none"/>
        </w:rPr>
      </w:pPr>
      <w:r>
        <w:rPr>
          <w:rFonts w:hint="default" w:ascii="Times New Roman" w:hAnsi="Times New Roman" w:eastAsia="黑体" w:cs="Times New Roman"/>
          <w:b w:val="0"/>
          <w:bCs w:val="0"/>
          <w:sz w:val="32"/>
          <w:highlight w:val="none"/>
        </w:rPr>
        <w:t>三、绩效自评分析</w:t>
      </w:r>
    </w:p>
    <w:p w14:paraId="72413DC5">
      <w:pPr>
        <w:pStyle w:val="4"/>
        <w:pageBreakBefore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楷体_GB2312" w:cs="Times New Roman"/>
          <w:b/>
          <w:bCs w:val="0"/>
          <w:sz w:val="32"/>
          <w:highlight w:val="none"/>
        </w:rPr>
      </w:pPr>
      <w:r>
        <w:rPr>
          <w:rFonts w:hint="default" w:ascii="Times New Roman" w:hAnsi="Times New Roman" w:eastAsia="楷体_GB2312" w:cs="Times New Roman"/>
          <w:b/>
          <w:bCs w:val="0"/>
          <w:sz w:val="32"/>
          <w:highlight w:val="none"/>
          <w:lang w:eastAsia="zh-CN"/>
        </w:rPr>
        <w:t>（</w:t>
      </w:r>
      <w:r>
        <w:rPr>
          <w:rFonts w:hint="default" w:ascii="Times New Roman" w:hAnsi="Times New Roman" w:eastAsia="楷体_GB2312" w:cs="Times New Roman"/>
          <w:b/>
          <w:bCs w:val="0"/>
          <w:sz w:val="32"/>
          <w:highlight w:val="none"/>
          <w:lang w:val="en-US" w:eastAsia="zh-CN"/>
        </w:rPr>
        <w:t>一</w:t>
      </w:r>
      <w:r>
        <w:rPr>
          <w:rFonts w:hint="default" w:ascii="Times New Roman" w:hAnsi="Times New Roman" w:eastAsia="楷体_GB2312" w:cs="Times New Roman"/>
          <w:b/>
          <w:bCs w:val="0"/>
          <w:sz w:val="32"/>
          <w:highlight w:val="none"/>
          <w:lang w:eastAsia="zh-CN"/>
        </w:rPr>
        <w:t>）</w:t>
      </w:r>
      <w:r>
        <w:rPr>
          <w:rFonts w:hint="default" w:ascii="Times New Roman" w:hAnsi="Times New Roman" w:eastAsia="楷体_GB2312" w:cs="Times New Roman"/>
          <w:b/>
          <w:bCs w:val="0"/>
          <w:sz w:val="32"/>
          <w:highlight w:val="none"/>
          <w:lang w:val="en-US" w:eastAsia="zh-CN"/>
        </w:rPr>
        <w:t>总体</w:t>
      </w:r>
      <w:r>
        <w:rPr>
          <w:rFonts w:hint="default" w:ascii="Times New Roman" w:hAnsi="Times New Roman" w:eastAsia="楷体_GB2312" w:cs="Times New Roman"/>
          <w:b/>
          <w:bCs w:val="0"/>
          <w:sz w:val="32"/>
          <w:highlight w:val="none"/>
        </w:rPr>
        <w:t>评价结论</w:t>
      </w:r>
    </w:p>
    <w:p w14:paraId="41657987">
      <w:pPr>
        <w:pStyle w:val="2"/>
        <w:pageBreakBefore w:val="0"/>
        <w:kinsoku/>
        <w:wordWrap/>
        <w:overflowPunct/>
        <w:topLinePunct w:val="0"/>
        <w:bidi w:val="0"/>
        <w:snapToGrid/>
        <w:spacing w:line="576" w:lineRule="exact"/>
        <w:ind w:firstLine="640"/>
        <w:textAlignment w:val="auto"/>
        <w:rPr>
          <w:rFonts w:hint="eastAsia"/>
          <w:color w:val="auto"/>
          <w:sz w:val="32"/>
          <w:szCs w:val="32"/>
          <w:highlight w:val="none"/>
          <w:u w:val="single"/>
        </w:rPr>
      </w:pPr>
      <w:r>
        <w:rPr>
          <w:rFonts w:hint="eastAsia" w:cs="Times New Roman"/>
          <w:sz w:val="32"/>
          <w:highlight w:val="none"/>
          <w:u w:val="none"/>
        </w:rPr>
        <w:t>我</w:t>
      </w:r>
      <w:r>
        <w:rPr>
          <w:rFonts w:hint="eastAsia" w:cs="Times New Roman"/>
          <w:sz w:val="32"/>
          <w:highlight w:val="none"/>
          <w:u w:val="none"/>
          <w:lang w:val="en-US" w:eastAsia="zh-CN"/>
        </w:rPr>
        <w:t>区</w:t>
      </w:r>
      <w:r>
        <w:rPr>
          <w:rFonts w:hint="eastAsia" w:cs="Times New Roman"/>
          <w:sz w:val="32"/>
          <w:highlight w:val="none"/>
        </w:rPr>
        <w:t>202</w:t>
      </w:r>
      <w:r>
        <w:rPr>
          <w:rFonts w:hint="eastAsia" w:cs="Times New Roman"/>
          <w:sz w:val="32"/>
          <w:highlight w:val="none"/>
          <w:lang w:val="en-US" w:eastAsia="zh-CN"/>
        </w:rPr>
        <w:t>4</w:t>
      </w:r>
      <w:r>
        <w:rPr>
          <w:rFonts w:hint="eastAsia" w:cs="Times New Roman"/>
          <w:sz w:val="32"/>
          <w:highlight w:val="none"/>
        </w:rPr>
        <w:t>年度绩效自评总得分95分、白蚁防治绩效自评95分。</w:t>
      </w:r>
      <w:r>
        <w:rPr>
          <w:rFonts w:hint="eastAsia" w:ascii="仿宋_GB2312" w:hAnsi="仿宋_GB2312" w:eastAsia="仿宋_GB2312" w:cs="仿宋_GB2312"/>
          <w:sz w:val="32"/>
          <w:szCs w:val="32"/>
          <w:highlight w:val="none"/>
          <w:u w:val="none"/>
        </w:rPr>
        <w:t>我区202</w:t>
      </w:r>
      <w:r>
        <w:rPr>
          <w:rFonts w:hint="eastAsia" w:ascii="仿宋_GB2312" w:hAnsi="仿宋_GB2312" w:cs="仿宋_GB2312"/>
          <w:sz w:val="32"/>
          <w:szCs w:val="32"/>
          <w:highlight w:val="none"/>
          <w:u w:val="none"/>
          <w:lang w:val="en-US" w:eastAsia="zh-CN"/>
        </w:rPr>
        <w:t>4</w:t>
      </w:r>
      <w:r>
        <w:rPr>
          <w:rFonts w:hint="eastAsia" w:ascii="仿宋_GB2312" w:hAnsi="仿宋_GB2312" w:eastAsia="仿宋_GB2312" w:cs="仿宋_GB2312"/>
          <w:sz w:val="32"/>
          <w:szCs w:val="32"/>
          <w:highlight w:val="none"/>
          <w:u w:val="none"/>
        </w:rPr>
        <w:t>年中央水利发展资金实施的</w:t>
      </w:r>
      <w:r>
        <w:rPr>
          <w:rFonts w:hint="eastAsia" w:ascii="仿宋_GB2312" w:hAnsi="仿宋_GB2312" w:cs="仿宋_GB2312"/>
          <w:sz w:val="32"/>
          <w:szCs w:val="32"/>
          <w:highlight w:val="none"/>
          <w:u w:val="none"/>
          <w:lang w:val="en-US" w:eastAsia="zh-CN"/>
        </w:rPr>
        <w:t>1</w:t>
      </w:r>
      <w:r>
        <w:rPr>
          <w:rFonts w:hint="eastAsia" w:ascii="仿宋_GB2312" w:hAnsi="仿宋_GB2312" w:eastAsia="仿宋_GB2312" w:cs="仿宋_GB2312"/>
          <w:sz w:val="32"/>
          <w:szCs w:val="32"/>
          <w:highlight w:val="none"/>
          <w:u w:val="none"/>
        </w:rPr>
        <w:t>宗项目绩效目标合理、指标明确，预算编制准确，财务制度健全，专项资金管理坚持规范管理、严格审批、权责明确、绩效优先、公平公开、强化监督的原则，管理制度健全，组织实施规范，产出到位，效益显著。</w:t>
      </w:r>
    </w:p>
    <w:p w14:paraId="0885A0F9">
      <w:pPr>
        <w:pStyle w:val="4"/>
        <w:pageBreakBefore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楷体_GB2312" w:cs="Times New Roman"/>
          <w:b/>
          <w:bCs w:val="0"/>
          <w:sz w:val="32"/>
          <w:highlight w:val="none"/>
        </w:rPr>
      </w:pPr>
      <w:r>
        <w:rPr>
          <w:rFonts w:hint="default" w:ascii="Times New Roman" w:hAnsi="Times New Roman" w:eastAsia="楷体_GB2312" w:cs="Times New Roman"/>
          <w:b/>
          <w:bCs w:val="0"/>
          <w:sz w:val="32"/>
          <w:highlight w:val="none"/>
        </w:rPr>
        <w:t>（</w:t>
      </w:r>
      <w:r>
        <w:rPr>
          <w:rFonts w:hint="eastAsia" w:eastAsia="楷体_GB2312" w:cs="Times New Roman"/>
          <w:b/>
          <w:bCs w:val="0"/>
          <w:sz w:val="32"/>
          <w:highlight w:val="none"/>
          <w:lang w:val="en-US" w:eastAsia="zh-CN"/>
        </w:rPr>
        <w:t>二</w:t>
      </w:r>
      <w:r>
        <w:rPr>
          <w:rFonts w:hint="default" w:ascii="Times New Roman" w:hAnsi="Times New Roman" w:eastAsia="楷体_GB2312" w:cs="Times New Roman"/>
          <w:b/>
          <w:bCs w:val="0"/>
          <w:sz w:val="32"/>
          <w:highlight w:val="none"/>
        </w:rPr>
        <w:t>）项目资金情况分析</w:t>
      </w:r>
    </w:p>
    <w:p w14:paraId="67D481C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1.资金到位情况</w:t>
      </w:r>
    </w:p>
    <w:p w14:paraId="22938205">
      <w:pPr>
        <w:pStyle w:val="2"/>
        <w:pageBreakBefore w:val="0"/>
        <w:kinsoku/>
        <w:wordWrap/>
        <w:overflowPunct/>
        <w:topLinePunct w:val="0"/>
        <w:bidi w:val="0"/>
        <w:snapToGrid/>
        <w:spacing w:line="576" w:lineRule="exact"/>
        <w:textAlignment w:val="auto"/>
        <w:rPr>
          <w:rFonts w:hint="eastAsia" w:ascii="Times New Roman" w:hAnsi="Times New Roman" w:eastAsia="仿宋_GB2312"/>
          <w:sz w:val="32"/>
          <w:szCs w:val="32"/>
          <w:highlight w:val="none"/>
          <w:lang w:val="en-US" w:eastAsia="zh-CN"/>
        </w:rPr>
      </w:pPr>
      <w:r>
        <w:rPr>
          <w:rFonts w:hint="default" w:ascii="Times New Roman" w:hAnsi="Times New Roman" w:eastAsia="仿宋_GB2312"/>
          <w:sz w:val="32"/>
          <w:szCs w:val="32"/>
          <w:highlight w:val="none"/>
        </w:rPr>
        <w:t>2024年度批复预算投资17万元，其中：中央财政资金17万元、省级财政资金0万元、市县财政资金0万元、其他资金0万元。截至2025年6月底，中央和省级财政资金到位17万元，到位率100%</w:t>
      </w:r>
      <w:r>
        <w:rPr>
          <w:rFonts w:hint="eastAsia"/>
          <w:sz w:val="32"/>
          <w:szCs w:val="32"/>
          <w:highlight w:val="none"/>
          <w:lang w:eastAsia="zh-CN"/>
        </w:rPr>
        <w:t>。</w:t>
      </w:r>
    </w:p>
    <w:p w14:paraId="2D5F1B3F">
      <w:pPr>
        <w:pStyle w:val="2"/>
        <w:ind w:left="0" w:leftChars="0" w:firstLine="0" w:firstLineChars="0"/>
        <w:rPr>
          <w:rFonts w:hint="default" w:ascii="Times New Roman" w:hAnsi="Times New Roman" w:eastAsia="仿宋_GB2312"/>
          <w:sz w:val="32"/>
          <w:szCs w:val="32"/>
          <w:highlight w:val="none"/>
        </w:rPr>
        <w:sectPr>
          <w:headerReference r:id="rId7" w:type="first"/>
          <w:footerReference r:id="rId10" w:type="first"/>
          <w:headerReference r:id="rId5" w:type="default"/>
          <w:footerReference r:id="rId8" w:type="default"/>
          <w:headerReference r:id="rId6" w:type="even"/>
          <w:footerReference r:id="rId9" w:type="even"/>
          <w:pgSz w:w="11906" w:h="16838"/>
          <w:pgMar w:top="2098" w:right="1587" w:bottom="1701" w:left="1587" w:header="851" w:footer="850" w:gutter="0"/>
          <w:cols w:space="425" w:num="1"/>
          <w:docGrid w:type="lines" w:linePitch="381" w:charSpace="0"/>
        </w:sectPr>
      </w:pPr>
    </w:p>
    <w:p w14:paraId="3DA4DD2E">
      <w:pPr>
        <w:ind w:firstLine="0" w:firstLineChars="0"/>
        <w:jc w:val="center"/>
        <w:rPr>
          <w:rFonts w:hint="default" w:ascii="Times New Roman" w:hAnsi="Times New Roman" w:cs="Times New Roman"/>
          <w:highlight w:val="none"/>
        </w:rPr>
      </w:pPr>
      <w:r>
        <w:rPr>
          <w:rFonts w:hint="default" w:ascii="Times New Roman" w:hAnsi="Times New Roman" w:cs="Times New Roman"/>
          <w:highlight w:val="none"/>
        </w:rPr>
        <w:t>表</w:t>
      </w:r>
      <w:r>
        <w:rPr>
          <w:rFonts w:hint="eastAsia" w:cs="Times New Roman"/>
          <w:highlight w:val="none"/>
          <w:lang w:val="en-US" w:eastAsia="zh-CN"/>
        </w:rPr>
        <w:t>2</w:t>
      </w:r>
      <w:r>
        <w:rPr>
          <w:rFonts w:hint="default" w:ascii="Times New Roman" w:hAnsi="Times New Roman" w:cs="Times New Roman"/>
          <w:highlight w:val="none"/>
        </w:rPr>
        <w:t xml:space="preserve">  202</w:t>
      </w:r>
      <w:r>
        <w:rPr>
          <w:rFonts w:hint="eastAsia" w:cs="Times New Roman"/>
          <w:highlight w:val="none"/>
          <w:lang w:val="en-US" w:eastAsia="zh-CN"/>
        </w:rPr>
        <w:t>4</w:t>
      </w:r>
      <w:r>
        <w:rPr>
          <w:rFonts w:hint="default" w:ascii="Times New Roman" w:hAnsi="Times New Roman" w:cs="Times New Roman"/>
          <w:highlight w:val="none"/>
        </w:rPr>
        <w:t>年度中央和省级财政资金到位情况表</w:t>
      </w:r>
    </w:p>
    <w:tbl>
      <w:tblPr>
        <w:tblStyle w:val="13"/>
        <w:tblW w:w="513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160"/>
        <w:gridCol w:w="1125"/>
        <w:gridCol w:w="987"/>
        <w:gridCol w:w="1120"/>
        <w:gridCol w:w="1101"/>
        <w:gridCol w:w="1165"/>
        <w:gridCol w:w="1083"/>
        <w:gridCol w:w="1237"/>
        <w:gridCol w:w="928"/>
        <w:gridCol w:w="1186"/>
        <w:gridCol w:w="1223"/>
        <w:gridCol w:w="1043"/>
      </w:tblGrid>
      <w:tr w14:paraId="2C6D6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308" w:hRule="atLeast"/>
          <w:jc w:val="center"/>
        </w:trPr>
        <w:tc>
          <w:tcPr>
            <w:tcW w:w="2247" w:type="dxa"/>
            <w:vMerge w:val="restart"/>
            <w:vAlign w:val="center"/>
          </w:tcPr>
          <w:p w14:paraId="3EEE0AA6">
            <w:pPr>
              <w:pStyle w:val="32"/>
              <w:keepNext w:val="0"/>
              <w:keepLines w:val="0"/>
              <w:suppressLineNumbers w:val="0"/>
              <w:spacing w:before="0" w:beforeAutospacing="0" w:after="0" w:afterAutospacing="0" w:line="240" w:lineRule="auto"/>
              <w:ind w:left="0" w:right="0"/>
              <w:jc w:val="center"/>
              <w:rPr>
                <w:rFonts w:hint="default" w:ascii="Times New Roman" w:hAnsi="Times New Roman" w:cs="Times New Roman"/>
                <w:color w:val="auto"/>
                <w:kern w:val="0"/>
                <w:sz w:val="18"/>
                <w:szCs w:val="18"/>
                <w:highlight w:val="none"/>
              </w:rPr>
            </w:pPr>
            <w:r>
              <w:rPr>
                <w:rFonts w:hint="eastAsia" w:ascii="Times New Roman" w:hAnsi="Times New Roman" w:eastAsia="仿宋_GB2312" w:cs="Times New Roman"/>
                <w:color w:val="auto"/>
                <w:kern w:val="0"/>
                <w:sz w:val="18"/>
                <w:szCs w:val="18"/>
                <w:highlight w:val="none"/>
                <w:lang w:val="en-US" w:eastAsia="zh-CN" w:bidi="ar-SA"/>
              </w:rPr>
              <w:t>分类</w:t>
            </w:r>
          </w:p>
        </w:tc>
        <w:tc>
          <w:tcPr>
            <w:tcW w:w="1147" w:type="dxa"/>
            <w:vMerge w:val="restart"/>
            <w:vAlign w:val="center"/>
          </w:tcPr>
          <w:p w14:paraId="0727FA56">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批复预算数（万元）</w:t>
            </w:r>
          </w:p>
        </w:tc>
        <w:tc>
          <w:tcPr>
            <w:tcW w:w="10961" w:type="dxa"/>
            <w:gridSpan w:val="10"/>
            <w:vAlign w:val="center"/>
          </w:tcPr>
          <w:p w14:paraId="5640E5D9">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扣除脱贫县资金后</w:t>
            </w:r>
          </w:p>
        </w:tc>
      </w:tr>
      <w:tr w14:paraId="37C720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321" w:hRule="atLeast"/>
          <w:jc w:val="center"/>
        </w:trPr>
        <w:tc>
          <w:tcPr>
            <w:tcW w:w="2247" w:type="dxa"/>
            <w:vMerge w:val="continue"/>
            <w:vAlign w:val="center"/>
          </w:tcPr>
          <w:p w14:paraId="1E2BEC9B">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p>
        </w:tc>
        <w:tc>
          <w:tcPr>
            <w:tcW w:w="1147" w:type="dxa"/>
            <w:vMerge w:val="continue"/>
            <w:vAlign w:val="center"/>
          </w:tcPr>
          <w:p w14:paraId="17AB7422">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p>
        </w:tc>
        <w:tc>
          <w:tcPr>
            <w:tcW w:w="4464" w:type="dxa"/>
            <w:gridSpan w:val="4"/>
            <w:vAlign w:val="center"/>
          </w:tcPr>
          <w:p w14:paraId="303C8C62">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预算数（万元）</w:t>
            </w:r>
          </w:p>
        </w:tc>
        <w:tc>
          <w:tcPr>
            <w:tcW w:w="4528" w:type="dxa"/>
            <w:gridSpan w:val="4"/>
            <w:vAlign w:val="center"/>
          </w:tcPr>
          <w:p w14:paraId="37521AC8">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财政到位资金（万元）</w:t>
            </w:r>
          </w:p>
        </w:tc>
        <w:tc>
          <w:tcPr>
            <w:tcW w:w="1003" w:type="dxa"/>
            <w:vMerge w:val="restart"/>
            <w:vAlign w:val="center"/>
          </w:tcPr>
          <w:p w14:paraId="17E37342">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中央和省级财政资金到位率（%）</w:t>
            </w:r>
          </w:p>
        </w:tc>
        <w:tc>
          <w:tcPr>
            <w:tcW w:w="966" w:type="dxa"/>
            <w:vMerge w:val="restart"/>
            <w:vAlign w:val="center"/>
          </w:tcPr>
          <w:p w14:paraId="376C00AC">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市县财政资金到位率（%）</w:t>
            </w:r>
          </w:p>
        </w:tc>
      </w:tr>
      <w:tr w14:paraId="43F36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321" w:hRule="atLeast"/>
          <w:jc w:val="center"/>
        </w:trPr>
        <w:tc>
          <w:tcPr>
            <w:tcW w:w="2247" w:type="dxa"/>
            <w:vMerge w:val="continue"/>
            <w:vAlign w:val="center"/>
          </w:tcPr>
          <w:p w14:paraId="57782C99">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p>
        </w:tc>
        <w:tc>
          <w:tcPr>
            <w:tcW w:w="1147" w:type="dxa"/>
            <w:vMerge w:val="continue"/>
            <w:vAlign w:val="center"/>
          </w:tcPr>
          <w:p w14:paraId="7D3BA0E6">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p>
        </w:tc>
        <w:tc>
          <w:tcPr>
            <w:tcW w:w="1000" w:type="dxa"/>
            <w:vMerge w:val="restart"/>
            <w:vAlign w:val="center"/>
          </w:tcPr>
          <w:p w14:paraId="2D77980F">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总投资</w:t>
            </w:r>
          </w:p>
        </w:tc>
        <w:tc>
          <w:tcPr>
            <w:tcW w:w="3464" w:type="dxa"/>
            <w:gridSpan w:val="3"/>
            <w:vAlign w:val="center"/>
          </w:tcPr>
          <w:p w14:paraId="2B721EC7">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其中</w:t>
            </w:r>
          </w:p>
        </w:tc>
        <w:tc>
          <w:tcPr>
            <w:tcW w:w="1102" w:type="dxa"/>
            <w:vMerge w:val="restart"/>
            <w:vAlign w:val="center"/>
          </w:tcPr>
          <w:p w14:paraId="0028F5A7">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小计</w:t>
            </w:r>
          </w:p>
        </w:tc>
        <w:tc>
          <w:tcPr>
            <w:tcW w:w="3426" w:type="dxa"/>
            <w:gridSpan w:val="3"/>
            <w:vAlign w:val="center"/>
          </w:tcPr>
          <w:p w14:paraId="302541DB">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其中</w:t>
            </w:r>
          </w:p>
        </w:tc>
        <w:tc>
          <w:tcPr>
            <w:tcW w:w="1003" w:type="dxa"/>
            <w:vMerge w:val="continue"/>
            <w:vAlign w:val="center"/>
          </w:tcPr>
          <w:p w14:paraId="28DBFEBB">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p>
        </w:tc>
        <w:tc>
          <w:tcPr>
            <w:tcW w:w="966" w:type="dxa"/>
            <w:vMerge w:val="continue"/>
            <w:vAlign w:val="center"/>
          </w:tcPr>
          <w:p w14:paraId="2D1670C0">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p>
        </w:tc>
      </w:tr>
      <w:tr w14:paraId="5AD17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79" w:hRule="atLeast"/>
          <w:jc w:val="center"/>
        </w:trPr>
        <w:tc>
          <w:tcPr>
            <w:tcW w:w="2247" w:type="dxa"/>
            <w:vMerge w:val="continue"/>
            <w:vAlign w:val="center"/>
          </w:tcPr>
          <w:p w14:paraId="7A862353">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p>
        </w:tc>
        <w:tc>
          <w:tcPr>
            <w:tcW w:w="1147" w:type="dxa"/>
            <w:vMerge w:val="continue"/>
            <w:tcBorders>
              <w:bottom w:val="single" w:color="auto" w:sz="4" w:space="0"/>
            </w:tcBorders>
            <w:vAlign w:val="center"/>
          </w:tcPr>
          <w:p w14:paraId="671A6F4A">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p>
        </w:tc>
        <w:tc>
          <w:tcPr>
            <w:tcW w:w="1000" w:type="dxa"/>
            <w:vMerge w:val="continue"/>
            <w:tcBorders>
              <w:bottom w:val="single" w:color="auto" w:sz="4" w:space="0"/>
            </w:tcBorders>
            <w:vAlign w:val="center"/>
          </w:tcPr>
          <w:p w14:paraId="1B74E1A7">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p>
        </w:tc>
        <w:tc>
          <w:tcPr>
            <w:tcW w:w="1142" w:type="dxa"/>
            <w:tcBorders>
              <w:bottom w:val="single" w:color="auto" w:sz="4" w:space="0"/>
            </w:tcBorders>
            <w:vAlign w:val="center"/>
          </w:tcPr>
          <w:p w14:paraId="09584E44">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中央</w:t>
            </w:r>
          </w:p>
        </w:tc>
        <w:tc>
          <w:tcPr>
            <w:tcW w:w="1127" w:type="dxa"/>
            <w:tcBorders>
              <w:bottom w:val="single" w:color="auto" w:sz="4" w:space="0"/>
            </w:tcBorders>
            <w:vAlign w:val="center"/>
          </w:tcPr>
          <w:p w14:paraId="19B6BCEF">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省级</w:t>
            </w:r>
          </w:p>
        </w:tc>
        <w:tc>
          <w:tcPr>
            <w:tcW w:w="1195" w:type="dxa"/>
            <w:tcBorders>
              <w:bottom w:val="single" w:color="auto" w:sz="4" w:space="0"/>
            </w:tcBorders>
            <w:vAlign w:val="center"/>
          </w:tcPr>
          <w:p w14:paraId="1B95B143">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市县</w:t>
            </w:r>
          </w:p>
        </w:tc>
        <w:tc>
          <w:tcPr>
            <w:tcW w:w="1102" w:type="dxa"/>
            <w:vMerge w:val="continue"/>
            <w:tcBorders>
              <w:bottom w:val="single" w:color="auto" w:sz="4" w:space="0"/>
            </w:tcBorders>
            <w:vAlign w:val="center"/>
          </w:tcPr>
          <w:p w14:paraId="40C41D4B">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p>
        </w:tc>
        <w:tc>
          <w:tcPr>
            <w:tcW w:w="1266" w:type="dxa"/>
            <w:tcBorders>
              <w:bottom w:val="single" w:color="auto" w:sz="4" w:space="0"/>
            </w:tcBorders>
            <w:vAlign w:val="center"/>
          </w:tcPr>
          <w:p w14:paraId="0D48C13F">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中央</w:t>
            </w:r>
          </w:p>
        </w:tc>
        <w:tc>
          <w:tcPr>
            <w:tcW w:w="943" w:type="dxa"/>
            <w:tcBorders>
              <w:bottom w:val="single" w:color="auto" w:sz="4" w:space="0"/>
            </w:tcBorders>
            <w:vAlign w:val="center"/>
          </w:tcPr>
          <w:p w14:paraId="60599392">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省级</w:t>
            </w:r>
          </w:p>
        </w:tc>
        <w:tc>
          <w:tcPr>
            <w:tcW w:w="1217" w:type="dxa"/>
            <w:tcBorders>
              <w:bottom w:val="single" w:color="auto" w:sz="4" w:space="0"/>
            </w:tcBorders>
            <w:vAlign w:val="center"/>
          </w:tcPr>
          <w:p w14:paraId="7B7E167E">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市县</w:t>
            </w:r>
          </w:p>
        </w:tc>
        <w:tc>
          <w:tcPr>
            <w:tcW w:w="1003" w:type="dxa"/>
            <w:vMerge w:val="continue"/>
            <w:tcBorders>
              <w:bottom w:val="single" w:color="auto" w:sz="4" w:space="0"/>
            </w:tcBorders>
            <w:vAlign w:val="center"/>
          </w:tcPr>
          <w:p w14:paraId="4DE35092">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p>
        </w:tc>
        <w:tc>
          <w:tcPr>
            <w:tcW w:w="966" w:type="dxa"/>
            <w:vMerge w:val="continue"/>
            <w:tcBorders>
              <w:bottom w:val="single" w:color="auto" w:sz="4" w:space="0"/>
            </w:tcBorders>
            <w:vAlign w:val="center"/>
          </w:tcPr>
          <w:p w14:paraId="297D660A">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p>
        </w:tc>
      </w:tr>
      <w:tr w14:paraId="132B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cantSplit/>
          <w:trHeight w:val="321" w:hRule="atLeast"/>
          <w:jc w:val="center"/>
        </w:trPr>
        <w:tc>
          <w:tcPr>
            <w:tcW w:w="2247" w:type="dxa"/>
            <w:vAlign w:val="center"/>
          </w:tcPr>
          <w:p w14:paraId="32CD8B94">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cs="Times New Roman"/>
                <w:sz w:val="18"/>
                <w:szCs w:val="18"/>
                <w:highlight w:val="none"/>
              </w:rPr>
              <w:t>填表说明</w:t>
            </w:r>
          </w:p>
        </w:tc>
        <w:tc>
          <w:tcPr>
            <w:tcW w:w="1147" w:type="dxa"/>
            <w:tcBorders>
              <w:bottom w:val="single" w:color="auto" w:sz="4" w:space="0"/>
            </w:tcBorders>
            <w:vAlign w:val="center"/>
          </w:tcPr>
          <w:p w14:paraId="4803AE13">
            <w:pPr>
              <w:keepNext w:val="0"/>
              <w:keepLines w:val="0"/>
              <w:widowControl/>
              <w:suppressLineNumbers w:val="0"/>
              <w:spacing w:before="0" w:beforeAutospacing="0" w:after="0" w:afterAutospacing="0" w:line="260" w:lineRule="exact"/>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hint="eastAsia" w:cs="Times New Roman"/>
                <w:color w:val="auto"/>
                <w:kern w:val="0"/>
                <w:sz w:val="18"/>
                <w:szCs w:val="18"/>
                <w:highlight w:val="none"/>
                <w:lang w:eastAsia="zh-CN"/>
              </w:rPr>
              <w:t>（</w:t>
            </w:r>
            <w:r>
              <w:rPr>
                <w:rFonts w:hint="eastAsia" w:cs="Times New Roman"/>
                <w:color w:val="auto"/>
                <w:kern w:val="0"/>
                <w:sz w:val="18"/>
                <w:szCs w:val="18"/>
                <w:highlight w:val="none"/>
                <w:lang w:val="en-US" w:eastAsia="zh-CN"/>
              </w:rPr>
              <w:t>1</w:t>
            </w:r>
            <w:r>
              <w:rPr>
                <w:rFonts w:hint="eastAsia" w:cs="Times New Roman"/>
                <w:color w:val="auto"/>
                <w:kern w:val="0"/>
                <w:sz w:val="18"/>
                <w:szCs w:val="18"/>
                <w:highlight w:val="none"/>
                <w:lang w:eastAsia="zh-CN"/>
              </w:rPr>
              <w:t>）</w:t>
            </w:r>
          </w:p>
        </w:tc>
        <w:tc>
          <w:tcPr>
            <w:tcW w:w="1000" w:type="dxa"/>
            <w:tcBorders>
              <w:bottom w:val="single" w:color="auto" w:sz="4" w:space="0"/>
            </w:tcBorders>
            <w:vAlign w:val="center"/>
          </w:tcPr>
          <w:p w14:paraId="2A2272CE">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eastAsia" w:cs="Times New Roman"/>
                <w:color w:val="auto"/>
                <w:kern w:val="0"/>
                <w:sz w:val="18"/>
                <w:szCs w:val="18"/>
                <w:highlight w:val="none"/>
                <w:lang w:eastAsia="zh-CN"/>
              </w:rPr>
              <w:t>（</w:t>
            </w:r>
            <w:r>
              <w:rPr>
                <w:rFonts w:hint="eastAsia" w:cs="Times New Roman"/>
                <w:color w:val="auto"/>
                <w:kern w:val="0"/>
                <w:sz w:val="18"/>
                <w:szCs w:val="18"/>
                <w:highlight w:val="none"/>
                <w:lang w:val="en-US" w:eastAsia="zh-CN"/>
              </w:rPr>
              <w:t>1</w:t>
            </w:r>
            <w:r>
              <w:rPr>
                <w:rFonts w:hint="eastAsia" w:cs="Times New Roman"/>
                <w:color w:val="auto"/>
                <w:kern w:val="0"/>
                <w:sz w:val="18"/>
                <w:szCs w:val="18"/>
                <w:highlight w:val="none"/>
                <w:lang w:eastAsia="zh-CN"/>
              </w:rPr>
              <w:t>）</w:t>
            </w:r>
          </w:p>
        </w:tc>
        <w:tc>
          <w:tcPr>
            <w:tcW w:w="1142" w:type="dxa"/>
            <w:tcBorders>
              <w:bottom w:val="single" w:color="auto" w:sz="4" w:space="0"/>
            </w:tcBorders>
            <w:vAlign w:val="center"/>
          </w:tcPr>
          <w:p w14:paraId="58B3C3DC">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w:t>
            </w:r>
            <w:r>
              <w:rPr>
                <w:rFonts w:hint="default" w:ascii="Times New Roman" w:hAnsi="Times New Roman" w:cs="Times New Roman"/>
                <w:color w:val="auto"/>
                <w:kern w:val="0"/>
                <w:sz w:val="18"/>
                <w:szCs w:val="18"/>
                <w:highlight w:val="none"/>
                <w:lang w:eastAsia="zh-CN"/>
              </w:rPr>
              <w:t>2</w:t>
            </w:r>
            <w:r>
              <w:rPr>
                <w:rFonts w:hint="eastAsia" w:ascii="Times New Roman" w:hAnsi="Times New Roman" w:cs="Times New Roman"/>
                <w:color w:val="auto"/>
                <w:kern w:val="0"/>
                <w:sz w:val="18"/>
                <w:szCs w:val="18"/>
                <w:highlight w:val="none"/>
                <w:lang w:eastAsia="zh-CN"/>
              </w:rPr>
              <w:t>）</w:t>
            </w:r>
          </w:p>
        </w:tc>
        <w:tc>
          <w:tcPr>
            <w:tcW w:w="1127" w:type="dxa"/>
            <w:tcBorders>
              <w:bottom w:val="single" w:color="auto" w:sz="4" w:space="0"/>
            </w:tcBorders>
            <w:vAlign w:val="center"/>
          </w:tcPr>
          <w:p w14:paraId="24A4ED62">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w:t>
            </w:r>
            <w:r>
              <w:rPr>
                <w:rFonts w:hint="eastAsia" w:ascii="Times New Roman" w:hAnsi="Times New Roman" w:cs="Times New Roman"/>
                <w:color w:val="auto"/>
                <w:kern w:val="0"/>
                <w:sz w:val="18"/>
                <w:szCs w:val="18"/>
                <w:highlight w:val="none"/>
                <w:lang w:val="en-US" w:eastAsia="zh-CN"/>
              </w:rPr>
              <w:t>3</w:t>
            </w:r>
            <w:r>
              <w:rPr>
                <w:rFonts w:hint="eastAsia" w:ascii="Times New Roman" w:hAnsi="Times New Roman" w:cs="Times New Roman"/>
                <w:color w:val="auto"/>
                <w:kern w:val="0"/>
                <w:sz w:val="18"/>
                <w:szCs w:val="18"/>
                <w:highlight w:val="none"/>
                <w:lang w:eastAsia="zh-CN"/>
              </w:rPr>
              <w:t>）</w:t>
            </w:r>
          </w:p>
        </w:tc>
        <w:tc>
          <w:tcPr>
            <w:tcW w:w="1195" w:type="dxa"/>
            <w:tcBorders>
              <w:bottom w:val="single" w:color="auto" w:sz="4" w:space="0"/>
            </w:tcBorders>
            <w:vAlign w:val="center"/>
          </w:tcPr>
          <w:p w14:paraId="36F0ABC9">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lang w:eastAsia="zh-CN"/>
              </w:rPr>
            </w:pPr>
            <w:r>
              <w:rPr>
                <w:rFonts w:hint="eastAsia" w:ascii="Times New Roman" w:hAnsi="Times New Roman" w:cs="Times New Roman"/>
                <w:color w:val="auto"/>
                <w:kern w:val="0"/>
                <w:sz w:val="18"/>
                <w:szCs w:val="18"/>
                <w:highlight w:val="none"/>
                <w:lang w:eastAsia="zh-CN"/>
              </w:rPr>
              <w:t>（</w:t>
            </w:r>
            <w:r>
              <w:rPr>
                <w:rFonts w:hint="eastAsia" w:ascii="Times New Roman" w:hAnsi="Times New Roman" w:cs="Times New Roman"/>
                <w:color w:val="auto"/>
                <w:kern w:val="0"/>
                <w:sz w:val="18"/>
                <w:szCs w:val="18"/>
                <w:highlight w:val="none"/>
                <w:lang w:val="en-US" w:eastAsia="zh-CN"/>
              </w:rPr>
              <w:t>4</w:t>
            </w:r>
            <w:r>
              <w:rPr>
                <w:rFonts w:hint="eastAsia" w:ascii="Times New Roman" w:hAnsi="Times New Roman" w:cs="Times New Roman"/>
                <w:color w:val="auto"/>
                <w:kern w:val="0"/>
                <w:sz w:val="18"/>
                <w:szCs w:val="18"/>
                <w:highlight w:val="none"/>
                <w:lang w:eastAsia="zh-CN"/>
              </w:rPr>
              <w:t>）</w:t>
            </w:r>
          </w:p>
        </w:tc>
        <w:tc>
          <w:tcPr>
            <w:tcW w:w="1102" w:type="dxa"/>
            <w:tcBorders>
              <w:bottom w:val="single" w:color="auto" w:sz="4" w:space="0"/>
            </w:tcBorders>
            <w:vAlign w:val="center"/>
          </w:tcPr>
          <w:p w14:paraId="7D246738">
            <w:pPr>
              <w:keepNext w:val="0"/>
              <w:keepLines w:val="0"/>
              <w:widowControl/>
              <w:suppressLineNumbers w:val="0"/>
              <w:spacing w:before="0" w:beforeAutospacing="0" w:after="0" w:afterAutospacing="0" w:line="260" w:lineRule="exact"/>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hint="eastAsia" w:cs="Times New Roman"/>
                <w:color w:val="auto"/>
                <w:kern w:val="0"/>
                <w:sz w:val="18"/>
                <w:szCs w:val="18"/>
                <w:highlight w:val="none"/>
                <w:lang w:eastAsia="zh-CN"/>
              </w:rPr>
              <w:t>（</w:t>
            </w:r>
            <w:r>
              <w:rPr>
                <w:rFonts w:hint="eastAsia" w:cs="Times New Roman"/>
                <w:color w:val="auto"/>
                <w:kern w:val="0"/>
                <w:sz w:val="18"/>
                <w:szCs w:val="18"/>
                <w:highlight w:val="none"/>
                <w:lang w:val="en-US" w:eastAsia="zh-CN"/>
              </w:rPr>
              <w:t>5</w:t>
            </w:r>
            <w:r>
              <w:rPr>
                <w:rFonts w:hint="eastAsia" w:cs="Times New Roman"/>
                <w:color w:val="auto"/>
                <w:kern w:val="0"/>
                <w:sz w:val="18"/>
                <w:szCs w:val="18"/>
                <w:highlight w:val="none"/>
                <w:lang w:eastAsia="zh-CN"/>
              </w:rPr>
              <w:t>）</w:t>
            </w:r>
          </w:p>
        </w:tc>
        <w:tc>
          <w:tcPr>
            <w:tcW w:w="1266" w:type="dxa"/>
            <w:tcBorders>
              <w:bottom w:val="single" w:color="auto" w:sz="4" w:space="0"/>
            </w:tcBorders>
            <w:vAlign w:val="center"/>
          </w:tcPr>
          <w:p w14:paraId="33AA267E">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eastAsia="zh-CN"/>
              </w:rPr>
              <w:t>（</w:t>
            </w:r>
            <w:r>
              <w:rPr>
                <w:rFonts w:hint="default" w:ascii="Times New Roman" w:hAnsi="Times New Roman" w:cs="Times New Roman"/>
                <w:color w:val="auto"/>
                <w:kern w:val="0"/>
                <w:sz w:val="18"/>
                <w:szCs w:val="18"/>
                <w:highlight w:val="none"/>
                <w:lang w:eastAsia="zh-CN"/>
              </w:rPr>
              <w:t>2</w:t>
            </w:r>
            <w:r>
              <w:rPr>
                <w:rFonts w:hint="eastAsia" w:ascii="Times New Roman" w:hAnsi="Times New Roman" w:cs="Times New Roman"/>
                <w:color w:val="auto"/>
                <w:kern w:val="0"/>
                <w:sz w:val="18"/>
                <w:szCs w:val="18"/>
                <w:highlight w:val="none"/>
                <w:lang w:eastAsia="zh-CN"/>
              </w:rPr>
              <w:t>）</w:t>
            </w:r>
          </w:p>
        </w:tc>
        <w:tc>
          <w:tcPr>
            <w:tcW w:w="943" w:type="dxa"/>
            <w:tcBorders>
              <w:bottom w:val="single" w:color="auto" w:sz="4" w:space="0"/>
            </w:tcBorders>
            <w:vAlign w:val="center"/>
          </w:tcPr>
          <w:p w14:paraId="2D1FD5C0">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eastAsia="zh-CN"/>
              </w:rPr>
              <w:t>（</w:t>
            </w:r>
            <w:r>
              <w:rPr>
                <w:rFonts w:hint="eastAsia" w:ascii="Times New Roman" w:hAnsi="Times New Roman" w:cs="Times New Roman"/>
                <w:color w:val="auto"/>
                <w:kern w:val="0"/>
                <w:sz w:val="18"/>
                <w:szCs w:val="18"/>
                <w:highlight w:val="none"/>
                <w:lang w:val="en-US" w:eastAsia="zh-CN"/>
              </w:rPr>
              <w:t>3</w:t>
            </w:r>
            <w:r>
              <w:rPr>
                <w:rFonts w:hint="eastAsia" w:ascii="Times New Roman" w:hAnsi="Times New Roman" w:cs="Times New Roman"/>
                <w:color w:val="auto"/>
                <w:kern w:val="0"/>
                <w:sz w:val="18"/>
                <w:szCs w:val="18"/>
                <w:highlight w:val="none"/>
                <w:lang w:eastAsia="zh-CN"/>
              </w:rPr>
              <w:t>）</w:t>
            </w:r>
          </w:p>
        </w:tc>
        <w:tc>
          <w:tcPr>
            <w:tcW w:w="1217" w:type="dxa"/>
            <w:tcBorders>
              <w:bottom w:val="single" w:color="auto" w:sz="4" w:space="0"/>
            </w:tcBorders>
            <w:vAlign w:val="center"/>
          </w:tcPr>
          <w:p w14:paraId="1F52DDB3">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仿宋_GB2312" w:cs="Times New Roman"/>
                <w:color w:val="auto"/>
                <w:kern w:val="0"/>
                <w:sz w:val="18"/>
                <w:szCs w:val="18"/>
                <w:highlight w:val="none"/>
                <w:lang w:val="en-US" w:eastAsia="zh-CN" w:bidi="ar-SA"/>
              </w:rPr>
            </w:pPr>
            <w:r>
              <w:rPr>
                <w:rFonts w:hint="eastAsia" w:ascii="Times New Roman" w:hAnsi="Times New Roman" w:cs="Times New Roman"/>
                <w:color w:val="auto"/>
                <w:kern w:val="0"/>
                <w:sz w:val="18"/>
                <w:szCs w:val="18"/>
                <w:highlight w:val="none"/>
                <w:lang w:eastAsia="zh-CN"/>
              </w:rPr>
              <w:t>（</w:t>
            </w:r>
            <w:r>
              <w:rPr>
                <w:rFonts w:hint="eastAsia" w:ascii="Times New Roman" w:hAnsi="Times New Roman" w:cs="Times New Roman"/>
                <w:color w:val="auto"/>
                <w:kern w:val="0"/>
                <w:sz w:val="18"/>
                <w:szCs w:val="18"/>
                <w:highlight w:val="none"/>
                <w:lang w:val="en-US" w:eastAsia="zh-CN"/>
              </w:rPr>
              <w:t>4</w:t>
            </w:r>
            <w:r>
              <w:rPr>
                <w:rFonts w:hint="eastAsia" w:ascii="Times New Roman" w:hAnsi="Times New Roman" w:cs="Times New Roman"/>
                <w:color w:val="auto"/>
                <w:kern w:val="0"/>
                <w:sz w:val="18"/>
                <w:szCs w:val="18"/>
                <w:highlight w:val="none"/>
                <w:lang w:eastAsia="zh-CN"/>
              </w:rPr>
              <w:t>）</w:t>
            </w:r>
          </w:p>
        </w:tc>
        <w:tc>
          <w:tcPr>
            <w:tcW w:w="1003" w:type="dxa"/>
            <w:tcBorders>
              <w:bottom w:val="single" w:color="auto" w:sz="4" w:space="0"/>
            </w:tcBorders>
            <w:vAlign w:val="center"/>
          </w:tcPr>
          <w:p w14:paraId="0C0E5B45">
            <w:pPr>
              <w:keepNext w:val="0"/>
              <w:keepLines w:val="0"/>
              <w:widowControl/>
              <w:suppressLineNumbers w:val="0"/>
              <w:spacing w:before="0" w:beforeAutospacing="0" w:after="0" w:afterAutospacing="0" w:line="260" w:lineRule="exact"/>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hint="eastAsia" w:cs="Times New Roman"/>
                <w:color w:val="auto"/>
                <w:kern w:val="0"/>
                <w:sz w:val="18"/>
                <w:szCs w:val="18"/>
                <w:highlight w:val="none"/>
                <w:lang w:eastAsia="zh-CN"/>
              </w:rPr>
              <w:t>（</w:t>
            </w:r>
            <w:r>
              <w:rPr>
                <w:rFonts w:hint="eastAsia" w:cs="Times New Roman"/>
                <w:color w:val="auto"/>
                <w:kern w:val="0"/>
                <w:sz w:val="18"/>
                <w:szCs w:val="18"/>
                <w:highlight w:val="none"/>
                <w:lang w:val="en-US" w:eastAsia="zh-CN"/>
              </w:rPr>
              <w:t>6</w:t>
            </w:r>
            <w:r>
              <w:rPr>
                <w:rFonts w:hint="eastAsia" w:cs="Times New Roman"/>
                <w:color w:val="auto"/>
                <w:kern w:val="0"/>
                <w:sz w:val="18"/>
                <w:szCs w:val="18"/>
                <w:highlight w:val="none"/>
                <w:lang w:eastAsia="zh-CN"/>
              </w:rPr>
              <w:t>）</w:t>
            </w:r>
          </w:p>
        </w:tc>
        <w:tc>
          <w:tcPr>
            <w:tcW w:w="966" w:type="dxa"/>
            <w:tcBorders>
              <w:bottom w:val="single" w:color="auto" w:sz="4" w:space="0"/>
            </w:tcBorders>
            <w:vAlign w:val="center"/>
          </w:tcPr>
          <w:p w14:paraId="114FD04F">
            <w:pPr>
              <w:keepNext w:val="0"/>
              <w:keepLines w:val="0"/>
              <w:widowControl/>
              <w:suppressLineNumbers w:val="0"/>
              <w:spacing w:before="0" w:beforeAutospacing="0" w:after="0" w:afterAutospacing="0" w:line="260" w:lineRule="exact"/>
              <w:ind w:left="0" w:right="0" w:firstLine="0" w:firstLineChars="0"/>
              <w:jc w:val="center"/>
              <w:rPr>
                <w:rFonts w:hint="eastAsia" w:ascii="Times New Roman" w:hAnsi="Times New Roman" w:eastAsia="仿宋_GB2312" w:cs="Times New Roman"/>
                <w:color w:val="auto"/>
                <w:kern w:val="0"/>
                <w:sz w:val="18"/>
                <w:szCs w:val="18"/>
                <w:highlight w:val="none"/>
                <w:lang w:eastAsia="zh-CN"/>
              </w:rPr>
            </w:pPr>
            <w:r>
              <w:rPr>
                <w:rFonts w:hint="eastAsia" w:cs="Times New Roman"/>
                <w:color w:val="auto"/>
                <w:kern w:val="0"/>
                <w:sz w:val="18"/>
                <w:szCs w:val="18"/>
                <w:highlight w:val="none"/>
                <w:lang w:eastAsia="zh-CN"/>
              </w:rPr>
              <w:t>（</w:t>
            </w:r>
            <w:r>
              <w:rPr>
                <w:rFonts w:hint="eastAsia" w:cs="Times New Roman"/>
                <w:color w:val="auto"/>
                <w:kern w:val="0"/>
                <w:sz w:val="18"/>
                <w:szCs w:val="18"/>
                <w:highlight w:val="none"/>
                <w:lang w:val="en-US" w:eastAsia="zh-CN"/>
              </w:rPr>
              <w:t>7</w:t>
            </w:r>
            <w:r>
              <w:rPr>
                <w:rFonts w:hint="eastAsia" w:cs="Times New Roman"/>
                <w:color w:val="auto"/>
                <w:kern w:val="0"/>
                <w:sz w:val="18"/>
                <w:szCs w:val="18"/>
                <w:highlight w:val="none"/>
                <w:lang w:eastAsia="zh-CN"/>
              </w:rPr>
              <w:t>）</w:t>
            </w:r>
          </w:p>
        </w:tc>
      </w:tr>
      <w:tr w14:paraId="76387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jc w:val="center"/>
        </w:trPr>
        <w:tc>
          <w:tcPr>
            <w:tcBorders>
              <w:top w:val="single" w:color="auto" w:sz="4" w:space="0"/>
              <w:left w:val="single" w:color="auto" w:sz="4" w:space="0"/>
              <w:bottom w:val="single" w:color="auto" w:sz="4" w:space="0"/>
              <w:right w:val="single" w:color="auto" w:sz="4" w:space="0"/>
            </w:tcBorders>
          </w:tcPr>
          <w:p w14:paraId="69E86E7B">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白蚁防治</w:t>
            </w:r>
          </w:p>
        </w:tc>
        <w:tc>
          <w:tcPr>
            <w:tcBorders>
              <w:top w:val="single" w:color="auto" w:sz="4" w:space="0"/>
              <w:left w:val="single" w:color="auto" w:sz="4" w:space="0"/>
              <w:bottom w:val="single" w:color="auto" w:sz="4" w:space="0"/>
              <w:right w:val="single" w:color="auto" w:sz="4" w:space="0"/>
            </w:tcBorders>
          </w:tcPr>
          <w:p w14:paraId="6DE87A9E">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17</w:t>
            </w:r>
          </w:p>
        </w:tc>
        <w:tc>
          <w:tcPr>
            <w:tcBorders>
              <w:top w:val="single" w:color="auto" w:sz="4" w:space="0"/>
              <w:left w:val="single" w:color="auto" w:sz="4" w:space="0"/>
              <w:bottom w:val="single" w:color="auto" w:sz="4" w:space="0"/>
              <w:right w:val="single" w:color="auto" w:sz="4" w:space="0"/>
            </w:tcBorders>
          </w:tcPr>
          <w:p w14:paraId="069AB21F">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17</w:t>
            </w:r>
          </w:p>
        </w:tc>
        <w:tc>
          <w:tcPr>
            <w:tcBorders>
              <w:top w:val="single" w:color="auto" w:sz="4" w:space="0"/>
              <w:left w:val="single" w:color="auto" w:sz="4" w:space="0"/>
              <w:bottom w:val="single" w:color="auto" w:sz="4" w:space="0"/>
              <w:right w:val="single" w:color="auto" w:sz="4" w:space="0"/>
            </w:tcBorders>
          </w:tcPr>
          <w:p w14:paraId="3A18442A">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17</w:t>
            </w:r>
          </w:p>
        </w:tc>
        <w:tc>
          <w:tcPr>
            <w:tcBorders>
              <w:top w:val="single" w:color="auto" w:sz="4" w:space="0"/>
              <w:left w:val="single" w:color="auto" w:sz="4" w:space="0"/>
              <w:bottom w:val="single" w:color="auto" w:sz="4" w:space="0"/>
              <w:right w:val="single" w:color="auto" w:sz="4" w:space="0"/>
            </w:tcBorders>
          </w:tcPr>
          <w:p w14:paraId="5982F0D5">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0</w:t>
            </w:r>
          </w:p>
        </w:tc>
        <w:tc>
          <w:tcPr>
            <w:tcBorders>
              <w:top w:val="single" w:color="auto" w:sz="4" w:space="0"/>
              <w:left w:val="single" w:color="auto" w:sz="4" w:space="0"/>
              <w:bottom w:val="single" w:color="auto" w:sz="4" w:space="0"/>
              <w:right w:val="single" w:color="auto" w:sz="4" w:space="0"/>
            </w:tcBorders>
          </w:tcPr>
          <w:p w14:paraId="5D2A97C7">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0</w:t>
            </w:r>
          </w:p>
        </w:tc>
        <w:tc>
          <w:tcPr>
            <w:tcBorders>
              <w:top w:val="single" w:color="auto" w:sz="4" w:space="0"/>
              <w:left w:val="single" w:color="auto" w:sz="4" w:space="0"/>
              <w:bottom w:val="single" w:color="auto" w:sz="4" w:space="0"/>
              <w:right w:val="single" w:color="auto" w:sz="4" w:space="0"/>
            </w:tcBorders>
          </w:tcPr>
          <w:p w14:paraId="5D3D405E">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17</w:t>
            </w:r>
          </w:p>
        </w:tc>
        <w:tc>
          <w:tcPr>
            <w:tcBorders>
              <w:top w:val="single" w:color="auto" w:sz="4" w:space="0"/>
              <w:left w:val="single" w:color="auto" w:sz="4" w:space="0"/>
              <w:bottom w:val="single" w:color="auto" w:sz="4" w:space="0"/>
              <w:right w:val="single" w:color="auto" w:sz="4" w:space="0"/>
            </w:tcBorders>
          </w:tcPr>
          <w:p w14:paraId="042062F8">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17</w:t>
            </w:r>
          </w:p>
        </w:tc>
        <w:tc>
          <w:tcPr>
            <w:tcBorders>
              <w:top w:val="single" w:color="auto" w:sz="4" w:space="0"/>
              <w:left w:val="single" w:color="auto" w:sz="4" w:space="0"/>
              <w:bottom w:val="single" w:color="auto" w:sz="4" w:space="0"/>
              <w:right w:val="single" w:color="auto" w:sz="4" w:space="0"/>
            </w:tcBorders>
          </w:tcPr>
          <w:p w14:paraId="23AE5C79">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0</w:t>
            </w:r>
          </w:p>
        </w:tc>
        <w:tc>
          <w:tcPr>
            <w:tcBorders>
              <w:top w:val="single" w:color="auto" w:sz="4" w:space="0"/>
              <w:left w:val="single" w:color="auto" w:sz="4" w:space="0"/>
              <w:bottom w:val="single" w:color="auto" w:sz="4" w:space="0"/>
              <w:right w:val="single" w:color="auto" w:sz="4" w:space="0"/>
            </w:tcBorders>
          </w:tcPr>
          <w:p w14:paraId="029AF52A">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0</w:t>
            </w:r>
          </w:p>
        </w:tc>
        <w:tc>
          <w:tcPr>
            <w:tcBorders>
              <w:top w:val="single" w:color="auto" w:sz="4" w:space="0"/>
              <w:left w:val="single" w:color="auto" w:sz="4" w:space="0"/>
              <w:bottom w:val="single" w:color="auto" w:sz="4" w:space="0"/>
              <w:right w:val="single" w:color="auto" w:sz="4" w:space="0"/>
            </w:tcBorders>
          </w:tcPr>
          <w:p w14:paraId="5D28B299">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100.00%</w:t>
            </w:r>
          </w:p>
        </w:tc>
        <w:tc>
          <w:tcPr>
            <w:tcBorders>
              <w:top w:val="single" w:color="auto" w:sz="4" w:space="0"/>
              <w:left w:val="single" w:color="auto" w:sz="4" w:space="0"/>
              <w:bottom w:val="single" w:color="auto" w:sz="4" w:space="0"/>
              <w:right w:val="single" w:color="auto" w:sz="4" w:space="0"/>
            </w:tcBorders>
          </w:tcPr>
          <w:p w14:paraId="719715A2">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0.00%</w:t>
            </w:r>
          </w:p>
        </w:tc>
      </w:tr>
    </w:tbl>
    <w:p w14:paraId="12DDA8DA">
      <w:pPr>
        <w:spacing w:line="520" w:lineRule="exact"/>
        <w:ind w:left="0" w:leftChars="0" w:firstLine="0" w:firstLineChars="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注：中央和省级财政资金到位率=</w:t>
      </w:r>
      <w:r>
        <w:rPr>
          <w:rFonts w:hint="eastAsia" w:cs="Times New Roman"/>
          <w:sz w:val="21"/>
          <w:szCs w:val="21"/>
          <w:highlight w:val="none"/>
          <w:lang w:eastAsia="zh-CN"/>
        </w:rPr>
        <w:t>（</w:t>
      </w:r>
      <w:r>
        <w:rPr>
          <w:rFonts w:hint="default" w:ascii="Times New Roman" w:hAnsi="Times New Roman" w:cs="Times New Roman"/>
          <w:sz w:val="21"/>
          <w:szCs w:val="21"/>
          <w:highlight w:val="none"/>
        </w:rPr>
        <w:t>中央+省级财政到位资金</w:t>
      </w:r>
      <w:r>
        <w:rPr>
          <w:rFonts w:hint="eastAsia" w:cs="Times New Roman"/>
          <w:sz w:val="21"/>
          <w:szCs w:val="21"/>
          <w:highlight w:val="none"/>
          <w:lang w:eastAsia="zh-CN"/>
        </w:rPr>
        <w:t>）</w:t>
      </w:r>
      <w:r>
        <w:rPr>
          <w:rFonts w:hint="eastAsia" w:cs="Times New Roman"/>
          <w:sz w:val="21"/>
          <w:szCs w:val="21"/>
          <w:highlight w:val="none"/>
          <w:lang w:val="en-US" w:eastAsia="zh-CN"/>
        </w:rPr>
        <w:t>/</w:t>
      </w:r>
      <w:r>
        <w:rPr>
          <w:rFonts w:hint="default" w:ascii="Times New Roman" w:hAnsi="Times New Roman" w:cs="Times New Roman"/>
          <w:sz w:val="21"/>
          <w:szCs w:val="21"/>
          <w:highlight w:val="none"/>
        </w:rPr>
        <w:t>（中央+省级资金预算数）</w:t>
      </w:r>
    </w:p>
    <w:p w14:paraId="3B26622B">
      <w:pPr>
        <w:spacing w:line="520" w:lineRule="exact"/>
        <w:ind w:firstLine="480"/>
        <w:rPr>
          <w:rFonts w:hint="default" w:ascii="Times New Roman" w:hAnsi="Times New Roman" w:cs="Times New Roman"/>
          <w:sz w:val="21"/>
          <w:szCs w:val="21"/>
          <w:highlight w:val="none"/>
        </w:rPr>
      </w:pPr>
      <w:r>
        <w:rPr>
          <w:rFonts w:hint="default" w:ascii="Times New Roman" w:hAnsi="Times New Roman" w:cs="Times New Roman"/>
          <w:sz w:val="21"/>
          <w:szCs w:val="21"/>
          <w:highlight w:val="none"/>
        </w:rPr>
        <w:t>市县财政资金到位率=市县财政到位资金/市县财政资金预算数</w:t>
      </w:r>
    </w:p>
    <w:p w14:paraId="550E4195">
      <w:pPr>
        <w:spacing w:line="520" w:lineRule="exact"/>
        <w:ind w:firstLine="480"/>
        <w:rPr>
          <w:rFonts w:hint="default"/>
          <w:sz w:val="21"/>
          <w:szCs w:val="21"/>
          <w:highlight w:val="none"/>
        </w:rPr>
      </w:pPr>
      <w:r>
        <w:rPr>
          <w:rFonts w:hint="eastAsia" w:ascii="Times New Roman" w:hAnsi="Times New Roman" w:cs="Times New Roman"/>
          <w:sz w:val="21"/>
          <w:szCs w:val="21"/>
          <w:highlight w:val="none"/>
        </w:rPr>
        <w:t>填表说明：（</w:t>
      </w:r>
      <w:r>
        <w:rPr>
          <w:rFonts w:hint="default" w:ascii="Times New Roman" w:hAnsi="Times New Roman" w:cs="Times New Roman"/>
          <w:sz w:val="21"/>
          <w:szCs w:val="21"/>
          <w:highlight w:val="none"/>
        </w:rPr>
        <w:t>1</w:t>
      </w:r>
      <w:r>
        <w:rPr>
          <w:rFonts w:hint="eastAsia" w:ascii="Times New Roman" w:hAnsi="Times New Roman" w:cs="Times New Roman"/>
          <w:sz w:val="21"/>
          <w:szCs w:val="21"/>
          <w:highlight w:val="none"/>
        </w:rPr>
        <w: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rPr>
        <w:t>（</w:t>
      </w:r>
      <w:r>
        <w:rPr>
          <w:rFonts w:hint="default" w:ascii="Times New Roman" w:hAnsi="Times New Roman" w:cs="Times New Roman"/>
          <w:sz w:val="21"/>
          <w:szCs w:val="21"/>
          <w:highlight w:val="none"/>
        </w:rPr>
        <w:t>2</w:t>
      </w:r>
      <w:r>
        <w:rPr>
          <w:rFonts w:hint="eastAsia" w:ascii="Times New Roman" w:hAnsi="Times New Roman" w:cs="Times New Roman"/>
          <w:sz w:val="21"/>
          <w:szCs w:val="21"/>
          <w:highlight w:val="none"/>
        </w:rPr>
        <w: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rPr>
        <w:t>（</w:t>
      </w:r>
      <w:r>
        <w:rPr>
          <w:rFonts w:hint="default" w:ascii="Times New Roman" w:hAnsi="Times New Roman" w:cs="Times New Roman"/>
          <w:sz w:val="21"/>
          <w:szCs w:val="21"/>
          <w:highlight w:val="none"/>
        </w:rPr>
        <w:t>3</w:t>
      </w:r>
      <w:r>
        <w:rPr>
          <w:rFonts w:hint="eastAsia" w:ascii="Times New Roman" w:hAnsi="Times New Roman" w:cs="Times New Roman"/>
          <w:sz w:val="21"/>
          <w:szCs w:val="21"/>
          <w:highlight w:val="none"/>
        </w:rPr>
        <w: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4</w:t>
      </w:r>
      <w:r>
        <w:rPr>
          <w:rFonts w:hint="eastAsia" w:ascii="Times New Roman" w:hAnsi="Times New Roman" w:cs="Times New Roman"/>
          <w:sz w:val="21"/>
          <w:szCs w:val="21"/>
          <w:highlight w:val="none"/>
          <w:lang w:eastAsia="zh-CN"/>
        </w:rPr>
        <w: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rPr>
        <w:t>其他资金；（</w:t>
      </w:r>
      <w:r>
        <w:rPr>
          <w:rFonts w:hint="eastAsia" w:ascii="Times New Roman" w:hAnsi="Times New Roman" w:cs="Times New Roman"/>
          <w:sz w:val="21"/>
          <w:szCs w:val="21"/>
          <w:highlight w:val="none"/>
          <w:lang w:val="en-US" w:eastAsia="zh-CN"/>
        </w:rPr>
        <w:t>5</w:t>
      </w:r>
      <w:r>
        <w:rPr>
          <w:rFonts w:hint="eastAsia" w:ascii="Times New Roman" w:hAnsi="Times New Roman" w:cs="Times New Roman"/>
          <w:sz w:val="21"/>
          <w:szCs w:val="21"/>
          <w:highlight w:val="none"/>
        </w:rPr>
        <w:t>）=（2）+（3）</w:t>
      </w:r>
      <w:r>
        <w:rPr>
          <w:rFonts w:hint="eastAsia" w:ascii="Times New Roman" w:hAnsi="Times New Roman" w:cs="Times New Roman"/>
          <w:sz w:val="21"/>
          <w:szCs w:val="21"/>
          <w:highlight w:val="none"/>
          <w:lang w:val="en-US" w:eastAsia="zh-CN"/>
        </w:rPr>
        <w:t>+</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lang w:val="en-US" w:eastAsia="zh-CN"/>
        </w:rPr>
        <w:t>4</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6</w:t>
      </w:r>
      <w:r>
        <w:rPr>
          <w:rFonts w:hint="eastAsia" w:ascii="Times New Roman" w:hAnsi="Times New Roman" w:cs="Times New Roman"/>
          <w:sz w:val="21"/>
          <w:szCs w:val="21"/>
          <w:highlight w:val="none"/>
        </w:rPr>
        <w: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rPr>
        <w:t>（2）+（3）</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rPr>
        <w:t>（2）+（3）</w:t>
      </w:r>
      <w:r>
        <w:rPr>
          <w:rFonts w:hint="eastAsia" w:ascii="Times New Roman" w:hAnsi="Times New Roman" w:cs="Times New Roman"/>
          <w:sz w:val="21"/>
          <w:szCs w:val="21"/>
          <w:highlight w:val="none"/>
          <w:lang w:eastAsia="zh-CN"/>
        </w:rPr>
        <w:t>；</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7</w:t>
      </w:r>
      <w:r>
        <w:rPr>
          <w:rFonts w:hint="eastAsia" w:ascii="Times New Roman" w:hAnsi="Times New Roman" w:cs="Times New Roman"/>
          <w:sz w:val="21"/>
          <w:szCs w:val="21"/>
          <w:highlight w:val="none"/>
        </w:rPr>
        <w: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4</w:t>
      </w:r>
      <w:r>
        <w:rPr>
          <w:rFonts w:hint="eastAsia" w:ascii="Times New Roman" w:hAnsi="Times New Roman" w:cs="Times New Roman"/>
          <w:sz w:val="21"/>
          <w:szCs w:val="21"/>
          <w:highlight w:val="none"/>
        </w:rPr>
        <w:t>）</w:t>
      </w:r>
      <w:r>
        <w:rPr>
          <w:rFonts w:hint="default" w:ascii="Times New Roman" w:hAnsi="Times New Roman" w:cs="Times New Roman"/>
          <w:sz w:val="21"/>
          <w:szCs w:val="21"/>
          <w:highlight w:val="none"/>
        </w:rPr>
        <w:t>/</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val="en-US" w:eastAsia="zh-CN"/>
        </w:rPr>
        <w:t>4</w:t>
      </w:r>
      <w:r>
        <w:rPr>
          <w:rFonts w:hint="eastAsia" w:ascii="Times New Roman" w:hAnsi="Times New Roman" w:cs="Times New Roman"/>
          <w:sz w:val="21"/>
          <w:szCs w:val="21"/>
          <w:highlight w:val="none"/>
        </w:rPr>
        <w:t>）</w:t>
      </w:r>
      <w:r>
        <w:rPr>
          <w:rFonts w:hint="eastAsia" w:ascii="Times New Roman" w:hAnsi="Times New Roman" w:cs="Times New Roman"/>
          <w:sz w:val="21"/>
          <w:szCs w:val="21"/>
          <w:highlight w:val="none"/>
          <w:lang w:eastAsia="zh-CN"/>
        </w:rPr>
        <w:t>。</w:t>
      </w:r>
    </w:p>
    <w:p w14:paraId="154821D7">
      <w:pPr>
        <w:keepNext w:val="0"/>
        <w:keepLines w:val="0"/>
        <w:pageBreakBefore w:val="0"/>
        <w:widowControl/>
        <w:kinsoku/>
        <w:wordWrap/>
        <w:overflowPunct/>
        <w:topLinePunct w:val="0"/>
        <w:autoSpaceDE/>
        <w:autoSpaceDN/>
        <w:bidi w:val="0"/>
        <w:adjustRightInd/>
        <w:snapToGrid/>
        <w:spacing w:line="572" w:lineRule="exact"/>
        <w:ind w:firstLine="640"/>
        <w:textAlignment w:val="auto"/>
        <w:rPr>
          <w:rFonts w:hint="default" w:ascii="Times New Roman" w:hAnsi="Times New Roman" w:cs="Times New Roman"/>
          <w:sz w:val="32"/>
          <w:szCs w:val="32"/>
          <w:highlight w:val="none"/>
        </w:rPr>
        <w:sectPr>
          <w:pgSz w:w="16838" w:h="11906" w:orient="landscape"/>
          <w:pgMar w:top="1800" w:right="1440" w:bottom="1800" w:left="1440" w:header="851" w:footer="850" w:gutter="0"/>
          <w:cols w:space="425" w:num="1"/>
          <w:docGrid w:type="lines" w:linePitch="381" w:charSpace="0"/>
        </w:sectPr>
      </w:pPr>
    </w:p>
    <w:p w14:paraId="725CAD4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2.资金执行情况</w:t>
      </w:r>
    </w:p>
    <w:p w14:paraId="6899FFF4">
      <w:pPr>
        <w:keepNext w:val="0"/>
        <w:keepLines w:val="0"/>
        <w:pageBreakBefore w:val="0"/>
        <w:kinsoku/>
        <w:wordWrap/>
        <w:overflowPunct/>
        <w:topLinePunct w:val="0"/>
        <w:autoSpaceDE/>
        <w:autoSpaceDN/>
        <w:bidi w:val="0"/>
        <w:adjustRightInd/>
        <w:snapToGrid/>
        <w:spacing w:line="576" w:lineRule="exact"/>
        <w:ind w:firstLine="640"/>
        <w:textAlignment w:val="auto"/>
        <w:rPr>
          <w:rFonts w:ascii="Times New Roman" w:hAnsi="Times New Roman" w:eastAsia="仿宋_GB2312"/>
          <w:sz w:val="32"/>
          <w:szCs w:val="32"/>
          <w:highlight w:val="none"/>
        </w:rPr>
      </w:pPr>
      <w:r>
        <w:rPr>
          <w:rFonts w:ascii="Times New Roman" w:hAnsi="Times New Roman" w:eastAsia="仿宋_GB2312"/>
          <w:sz w:val="32"/>
          <w:szCs w:val="32"/>
          <w:highlight w:val="none"/>
        </w:rPr>
        <w:t>20</w:t>
      </w:r>
      <w:r>
        <w:rPr>
          <w:rFonts w:hint="eastAsia" w:ascii="Times New Roman" w:hAnsi="Times New Roman"/>
          <w:sz w:val="32"/>
          <w:szCs w:val="32"/>
          <w:highlight w:val="none"/>
          <w:lang w:val="en-US" w:eastAsia="zh-CN"/>
        </w:rPr>
        <w:t>2</w:t>
      </w:r>
      <w:r>
        <w:rPr>
          <w:rFonts w:hint="eastAsia"/>
          <w:sz w:val="32"/>
          <w:szCs w:val="32"/>
          <w:highlight w:val="none"/>
          <w:lang w:val="en-US" w:eastAsia="zh-CN"/>
        </w:rPr>
        <w:t>4</w:t>
      </w:r>
      <w:r>
        <w:rPr>
          <w:rFonts w:ascii="Times New Roman" w:hAnsi="Times New Roman" w:eastAsia="仿宋_GB2312"/>
          <w:sz w:val="32"/>
          <w:szCs w:val="32"/>
          <w:highlight w:val="none"/>
        </w:rPr>
        <w:t>年度批复预算投资</w:t>
      </w:r>
      <w:r>
        <w:rPr>
          <w:rFonts w:hint="eastAsia"/>
          <w:sz w:val="32"/>
          <w:szCs w:val="32"/>
          <w:highlight w:val="none"/>
          <w:lang w:val="en-US" w:eastAsia="zh-CN"/>
        </w:rPr>
        <w:t>17</w:t>
      </w:r>
      <w:r>
        <w:rPr>
          <w:rFonts w:ascii="Times New Roman" w:hAnsi="Times New Roman" w:eastAsia="仿宋_GB2312"/>
          <w:sz w:val="32"/>
          <w:szCs w:val="32"/>
          <w:highlight w:val="none"/>
        </w:rPr>
        <w:t>万元</w:t>
      </w:r>
      <w:r>
        <w:rPr>
          <w:rFonts w:hint="eastAsia" w:ascii="Times New Roman" w:hAnsi="Times New Roman" w:eastAsia="仿宋_GB2312"/>
          <w:sz w:val="32"/>
          <w:szCs w:val="32"/>
          <w:highlight w:val="none"/>
          <w:lang w:eastAsia="zh-CN"/>
        </w:rPr>
        <w:t>。</w:t>
      </w:r>
    </w:p>
    <w:p w14:paraId="5153FBD2">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eastAsia="仿宋" w:cs="Times New Roman"/>
          <w:sz w:val="32"/>
          <w:szCs w:val="32"/>
          <w:highlight w:val="none"/>
        </w:rPr>
      </w:pPr>
      <w:r>
        <w:rPr>
          <w:rFonts w:hint="eastAsia" w:eastAsia="仿宋" w:cs="Times New Roman"/>
          <w:sz w:val="32"/>
          <w:szCs w:val="32"/>
          <w:highlight w:val="none"/>
        </w:rPr>
        <w:t>截至</w:t>
      </w:r>
      <w:r>
        <w:rPr>
          <w:rFonts w:eastAsia="仿宋" w:cs="Times New Roman"/>
          <w:sz w:val="32"/>
          <w:szCs w:val="32"/>
          <w:highlight w:val="none"/>
        </w:rPr>
        <w:t>202</w:t>
      </w:r>
      <w:r>
        <w:rPr>
          <w:rFonts w:hint="eastAsia" w:eastAsia="仿宋" w:cs="Times New Roman"/>
          <w:sz w:val="32"/>
          <w:szCs w:val="32"/>
          <w:highlight w:val="none"/>
          <w:lang w:val="en-US" w:eastAsia="zh-CN"/>
        </w:rPr>
        <w:t>4</w:t>
      </w:r>
      <w:r>
        <w:rPr>
          <w:rFonts w:eastAsia="仿宋" w:cs="Times New Roman"/>
          <w:sz w:val="32"/>
          <w:szCs w:val="32"/>
          <w:highlight w:val="none"/>
        </w:rPr>
        <w:t>年12月底，</w:t>
      </w:r>
      <w:r>
        <w:rPr>
          <w:rFonts w:hint="eastAsia" w:cs="Times New Roman"/>
          <w:sz w:val="32"/>
          <w:highlight w:val="none"/>
        </w:rPr>
        <w:t>共完成投资</w:t>
      </w:r>
      <w:r>
        <w:rPr>
          <w:rFonts w:hint="eastAsia" w:eastAsia="仿宋" w:cs="Times New Roman"/>
          <w:sz w:val="32"/>
          <w:szCs w:val="32"/>
          <w:highlight w:val="none"/>
        </w:rPr>
        <w:t>17</w:t>
      </w:r>
      <w:r>
        <w:rPr>
          <w:rFonts w:eastAsia="仿宋" w:cs="Times New Roman"/>
          <w:sz w:val="32"/>
          <w:szCs w:val="32"/>
          <w:highlight w:val="none"/>
        </w:rPr>
        <w:t>万元</w:t>
      </w:r>
      <w:r>
        <w:rPr>
          <w:rFonts w:hint="eastAsia" w:eastAsia="仿宋" w:cs="Times New Roman"/>
          <w:sz w:val="32"/>
          <w:szCs w:val="32"/>
          <w:highlight w:val="none"/>
        </w:rPr>
        <w:t>（</w:t>
      </w:r>
      <w:r>
        <w:rPr>
          <w:rFonts w:eastAsia="仿宋" w:cs="Times New Roman"/>
          <w:sz w:val="32"/>
          <w:szCs w:val="32"/>
          <w:highlight w:val="none"/>
        </w:rPr>
        <w:t>中央财政资金</w:t>
      </w:r>
      <w:r>
        <w:rPr>
          <w:rFonts w:hint="eastAsia" w:eastAsia="仿宋" w:cs="Times New Roman"/>
          <w:sz w:val="32"/>
          <w:szCs w:val="32"/>
          <w:highlight w:val="none"/>
        </w:rPr>
        <w:t>17</w:t>
      </w:r>
      <w:r>
        <w:rPr>
          <w:rFonts w:eastAsia="仿宋" w:cs="Times New Roman"/>
          <w:sz w:val="32"/>
          <w:szCs w:val="32"/>
          <w:highlight w:val="none"/>
        </w:rPr>
        <w:t>万元</w:t>
      </w:r>
      <w:r>
        <w:rPr>
          <w:rFonts w:hint="eastAsia" w:eastAsia="仿宋" w:cs="Times New Roman"/>
          <w:sz w:val="32"/>
          <w:szCs w:val="32"/>
          <w:highlight w:val="none"/>
          <w:lang w:eastAsia="zh-CN"/>
        </w:rPr>
        <w:t>、</w:t>
      </w:r>
      <w:r>
        <w:rPr>
          <w:rFonts w:hint="eastAsia" w:eastAsia="仿宋" w:cs="Times New Roman"/>
          <w:sz w:val="32"/>
          <w:szCs w:val="32"/>
          <w:highlight w:val="none"/>
          <w:lang w:val="en-US" w:eastAsia="zh-CN"/>
        </w:rPr>
        <w:t>省级财政资金0</w:t>
      </w:r>
      <w:r>
        <w:rPr>
          <w:rFonts w:eastAsia="仿宋" w:cs="Times New Roman"/>
          <w:sz w:val="32"/>
          <w:szCs w:val="32"/>
          <w:highlight w:val="none"/>
        </w:rPr>
        <w:t>万元</w:t>
      </w:r>
      <w:r>
        <w:rPr>
          <w:rFonts w:hint="eastAsia" w:eastAsia="仿宋" w:cs="Times New Roman"/>
          <w:sz w:val="32"/>
          <w:szCs w:val="32"/>
          <w:highlight w:val="none"/>
          <w:lang w:eastAsia="zh-CN"/>
        </w:rPr>
        <w:t>、</w:t>
      </w:r>
      <w:r>
        <w:rPr>
          <w:rFonts w:hint="eastAsia" w:eastAsia="仿宋" w:cs="Times New Roman"/>
          <w:sz w:val="32"/>
          <w:szCs w:val="32"/>
          <w:highlight w:val="none"/>
          <w:lang w:val="en-US" w:eastAsia="zh-CN"/>
        </w:rPr>
        <w:t>市县0财政资金万元、其他资金0</w:t>
      </w:r>
      <w:r>
        <w:rPr>
          <w:rFonts w:eastAsia="仿宋" w:cs="Times New Roman"/>
          <w:sz w:val="32"/>
          <w:szCs w:val="32"/>
          <w:highlight w:val="none"/>
        </w:rPr>
        <w:t>万元</w:t>
      </w:r>
      <w:r>
        <w:rPr>
          <w:rFonts w:hint="eastAsia" w:eastAsia="仿宋" w:cs="Times New Roman"/>
          <w:sz w:val="32"/>
          <w:szCs w:val="32"/>
          <w:highlight w:val="none"/>
          <w:lang w:eastAsia="zh-CN"/>
        </w:rPr>
        <w:t>）</w:t>
      </w:r>
      <w:r>
        <w:rPr>
          <w:rFonts w:hint="eastAsia" w:eastAsia="仿宋" w:cs="Times New Roman"/>
          <w:sz w:val="32"/>
          <w:szCs w:val="32"/>
          <w:highlight w:val="none"/>
        </w:rPr>
        <w:t>，投资完成率100%。</w:t>
      </w:r>
    </w:p>
    <w:p w14:paraId="4E42778D">
      <w:pPr>
        <w:keepNext w:val="0"/>
        <w:keepLines w:val="0"/>
        <w:pageBreakBefore w:val="0"/>
        <w:kinsoku/>
        <w:wordWrap/>
        <w:overflowPunct/>
        <w:topLinePunct w:val="0"/>
        <w:autoSpaceDE/>
        <w:autoSpaceDN/>
        <w:bidi w:val="0"/>
        <w:adjustRightInd/>
        <w:snapToGrid/>
        <w:spacing w:line="576" w:lineRule="exact"/>
        <w:ind w:firstLine="640"/>
        <w:textAlignment w:val="auto"/>
        <w:rPr>
          <w:rFonts w:hint="eastAsia" w:cs="Times New Roman"/>
          <w:sz w:val="32"/>
          <w:highlight w:val="none"/>
        </w:rPr>
      </w:pPr>
      <w:r>
        <w:rPr>
          <w:rFonts w:hint="eastAsia" w:cs="Times New Roman"/>
          <w:sz w:val="32"/>
          <w:highlight w:val="none"/>
        </w:rPr>
        <w:t>截至202</w:t>
      </w:r>
      <w:r>
        <w:rPr>
          <w:rFonts w:hint="eastAsia" w:cs="Times New Roman"/>
          <w:sz w:val="32"/>
          <w:highlight w:val="none"/>
          <w:lang w:val="en-US" w:eastAsia="zh-CN"/>
        </w:rPr>
        <w:t>5</w:t>
      </w:r>
      <w:r>
        <w:rPr>
          <w:rFonts w:hint="eastAsia" w:cs="Times New Roman"/>
          <w:sz w:val="32"/>
          <w:highlight w:val="none"/>
        </w:rPr>
        <w:t>年6月底，共完成投资17万元（中央财政资金17万元</w:t>
      </w:r>
      <w:r>
        <w:rPr>
          <w:rFonts w:hint="eastAsia" w:cs="Times New Roman"/>
          <w:sz w:val="32"/>
          <w:highlight w:val="none"/>
          <w:lang w:eastAsia="zh-CN"/>
        </w:rPr>
        <w:t>、</w:t>
      </w:r>
      <w:r>
        <w:rPr>
          <w:rFonts w:hint="eastAsia" w:cs="Times New Roman"/>
          <w:sz w:val="32"/>
          <w:highlight w:val="none"/>
          <w:lang w:val="en-US" w:eastAsia="zh-CN"/>
        </w:rPr>
        <w:t>省级财政资金0</w:t>
      </w:r>
      <w:r>
        <w:rPr>
          <w:rFonts w:hint="eastAsia" w:cs="Times New Roman"/>
          <w:sz w:val="32"/>
          <w:highlight w:val="none"/>
        </w:rPr>
        <w:t>万元</w:t>
      </w:r>
      <w:r>
        <w:rPr>
          <w:rFonts w:hint="eastAsia" w:cs="Times New Roman"/>
          <w:sz w:val="32"/>
          <w:highlight w:val="none"/>
          <w:lang w:eastAsia="zh-CN"/>
        </w:rPr>
        <w:t>、</w:t>
      </w:r>
      <w:r>
        <w:rPr>
          <w:rFonts w:hint="eastAsia" w:cs="Times New Roman"/>
          <w:sz w:val="32"/>
          <w:highlight w:val="none"/>
          <w:lang w:val="en-US" w:eastAsia="zh-CN"/>
        </w:rPr>
        <w:t>市县财政资金0</w:t>
      </w:r>
      <w:r>
        <w:rPr>
          <w:rFonts w:hint="eastAsia" w:cs="Times New Roman"/>
          <w:sz w:val="32"/>
          <w:highlight w:val="none"/>
        </w:rPr>
        <w:t>万元</w:t>
      </w:r>
      <w:r>
        <w:rPr>
          <w:rFonts w:hint="eastAsia" w:cs="Times New Roman"/>
          <w:sz w:val="32"/>
          <w:highlight w:val="none"/>
          <w:lang w:eastAsia="zh-CN"/>
        </w:rPr>
        <w:t>、</w:t>
      </w:r>
      <w:r>
        <w:rPr>
          <w:rFonts w:hint="eastAsia" w:cs="Times New Roman"/>
          <w:sz w:val="32"/>
          <w:highlight w:val="none"/>
          <w:lang w:val="en-US" w:eastAsia="zh-CN"/>
        </w:rPr>
        <w:t>其他资金0</w:t>
      </w:r>
      <w:r>
        <w:rPr>
          <w:rFonts w:hint="eastAsia" w:cs="Times New Roman"/>
          <w:sz w:val="32"/>
          <w:highlight w:val="none"/>
        </w:rPr>
        <w:t>万元</w:t>
      </w:r>
      <w:r>
        <w:rPr>
          <w:rFonts w:hint="eastAsia" w:cs="Times New Roman"/>
          <w:sz w:val="32"/>
          <w:highlight w:val="none"/>
          <w:lang w:eastAsia="zh-CN"/>
        </w:rPr>
        <w:t>）</w:t>
      </w:r>
      <w:r>
        <w:rPr>
          <w:rFonts w:hint="eastAsia" w:cs="Times New Roman"/>
          <w:sz w:val="32"/>
          <w:highlight w:val="none"/>
        </w:rPr>
        <w:t>，投资完成率100%。</w:t>
      </w:r>
    </w:p>
    <w:p w14:paraId="2DA7BA4A">
      <w:pPr>
        <w:keepNext w:val="0"/>
        <w:keepLines w:val="0"/>
        <w:pageBreakBefore w:val="0"/>
        <w:kinsoku/>
        <w:wordWrap/>
        <w:overflowPunct/>
        <w:topLinePunct w:val="0"/>
        <w:autoSpaceDE/>
        <w:autoSpaceDN/>
        <w:bidi w:val="0"/>
        <w:adjustRightInd/>
        <w:snapToGrid/>
        <w:spacing w:line="576" w:lineRule="exact"/>
        <w:ind w:left="0" w:leftChars="0" w:firstLine="0" w:firstLineChars="0"/>
        <w:textAlignment w:val="auto"/>
        <w:rPr>
          <w:rFonts w:hint="eastAsia" w:cs="Times New Roman"/>
          <w:sz w:val="32"/>
          <w:highlight w:val="none"/>
        </w:rPr>
        <w:sectPr>
          <w:pgSz w:w="11906" w:h="16838"/>
          <w:pgMar w:top="1440" w:right="1800" w:bottom="1440" w:left="1800" w:header="851" w:footer="850" w:gutter="0"/>
          <w:cols w:space="425" w:num="1"/>
          <w:docGrid w:type="lines" w:linePitch="381" w:charSpace="0"/>
        </w:sectPr>
      </w:pPr>
    </w:p>
    <w:p w14:paraId="43CAF407">
      <w:pPr>
        <w:keepNext w:val="0"/>
        <w:keepLines w:val="0"/>
        <w:pageBreakBefore w:val="0"/>
        <w:widowControl/>
        <w:kinsoku/>
        <w:wordWrap/>
        <w:overflowPunct/>
        <w:topLinePunct w:val="0"/>
        <w:autoSpaceDE/>
        <w:autoSpaceDN/>
        <w:bidi w:val="0"/>
        <w:adjustRightInd/>
        <w:snapToGrid/>
        <w:spacing w:line="572"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cs="Times New Roman"/>
          <w:highlight w:val="none"/>
        </w:rPr>
        <w:t>表</w:t>
      </w:r>
      <w:r>
        <w:rPr>
          <w:rFonts w:hint="eastAsia" w:cs="Times New Roman"/>
          <w:highlight w:val="none"/>
          <w:lang w:val="en-US" w:eastAsia="zh-CN"/>
        </w:rPr>
        <w:t>3</w:t>
      </w:r>
      <w:r>
        <w:rPr>
          <w:rFonts w:hint="default" w:ascii="Times New Roman" w:hAnsi="Times New Roman" w:cs="Times New Roman"/>
          <w:highlight w:val="none"/>
        </w:rPr>
        <w:t xml:space="preserve">  202</w:t>
      </w:r>
      <w:r>
        <w:rPr>
          <w:rFonts w:hint="eastAsia" w:cs="Times New Roman"/>
          <w:highlight w:val="none"/>
          <w:lang w:val="en-US" w:eastAsia="zh-CN"/>
        </w:rPr>
        <w:t>4</w:t>
      </w:r>
      <w:r>
        <w:rPr>
          <w:rFonts w:hint="default" w:ascii="Times New Roman" w:hAnsi="Times New Roman" w:cs="Times New Roman"/>
          <w:highlight w:val="none"/>
        </w:rPr>
        <w:t>年度水利发展资金执行情况表</w:t>
      </w:r>
    </w:p>
    <w:tbl>
      <w:tblPr>
        <w:tblStyle w:val="13"/>
        <w:tblW w:w="50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1422"/>
        <w:gridCol w:w="773"/>
        <w:gridCol w:w="712"/>
        <w:gridCol w:w="683"/>
        <w:gridCol w:w="771"/>
        <w:gridCol w:w="878"/>
        <w:gridCol w:w="946"/>
        <w:gridCol w:w="878"/>
        <w:gridCol w:w="937"/>
        <w:gridCol w:w="878"/>
        <w:gridCol w:w="932"/>
        <w:gridCol w:w="802"/>
        <w:gridCol w:w="1036"/>
        <w:gridCol w:w="1223"/>
        <w:gridCol w:w="1224"/>
      </w:tblGrid>
      <w:tr w14:paraId="3CCF1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48" w:hRule="atLeast"/>
          <w:jc w:val="center"/>
        </w:trPr>
        <w:tc>
          <w:tcPr>
            <w:tcW w:w="520" w:type="pct"/>
            <w:vMerge w:val="restart"/>
            <w:vAlign w:val="center"/>
          </w:tcPr>
          <w:p w14:paraId="7C3D0D61">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分类</w:t>
            </w:r>
          </w:p>
        </w:tc>
        <w:tc>
          <w:tcPr>
            <w:tcW w:w="1045" w:type="pct"/>
            <w:gridSpan w:val="4"/>
            <w:vAlign w:val="center"/>
          </w:tcPr>
          <w:p w14:paraId="447B6B65">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批复投资（万元）</w:t>
            </w:r>
          </w:p>
        </w:tc>
        <w:tc>
          <w:tcPr>
            <w:tcW w:w="2708" w:type="pct"/>
            <w:gridSpan w:val="8"/>
            <w:vAlign w:val="center"/>
          </w:tcPr>
          <w:p w14:paraId="66CA8753">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完成投资（万元）</w:t>
            </w:r>
          </w:p>
        </w:tc>
        <w:tc>
          <w:tcPr>
            <w:tcW w:w="725" w:type="pct"/>
            <w:gridSpan w:val="2"/>
            <w:vMerge w:val="restart"/>
            <w:vAlign w:val="center"/>
          </w:tcPr>
          <w:p w14:paraId="7F49F8EC">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投资完成率（%）</w:t>
            </w:r>
          </w:p>
        </w:tc>
      </w:tr>
      <w:tr w14:paraId="5F000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245" w:hRule="atLeast"/>
          <w:jc w:val="center"/>
        </w:trPr>
        <w:tc>
          <w:tcPr>
            <w:tcW w:w="520" w:type="pct"/>
            <w:vMerge w:val="continue"/>
            <w:vAlign w:val="center"/>
          </w:tcPr>
          <w:p w14:paraId="59769355">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p>
        </w:tc>
        <w:tc>
          <w:tcPr>
            <w:tcW w:w="255" w:type="pct"/>
            <w:vMerge w:val="restart"/>
            <w:vAlign w:val="center"/>
          </w:tcPr>
          <w:p w14:paraId="435F488D">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中央</w:t>
            </w:r>
          </w:p>
        </w:tc>
        <w:tc>
          <w:tcPr>
            <w:tcW w:w="268" w:type="pct"/>
            <w:vMerge w:val="restart"/>
            <w:vAlign w:val="center"/>
          </w:tcPr>
          <w:p w14:paraId="0B3038AF">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省级</w:t>
            </w:r>
          </w:p>
        </w:tc>
        <w:tc>
          <w:tcPr>
            <w:tcW w:w="233" w:type="pct"/>
            <w:vMerge w:val="restart"/>
            <w:vAlign w:val="center"/>
          </w:tcPr>
          <w:p w14:paraId="53AE5540">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市县</w:t>
            </w:r>
          </w:p>
        </w:tc>
        <w:tc>
          <w:tcPr>
            <w:tcW w:w="288" w:type="pct"/>
            <w:vMerge w:val="restart"/>
            <w:vAlign w:val="center"/>
          </w:tcPr>
          <w:p w14:paraId="431B2A66">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其他</w:t>
            </w:r>
          </w:p>
        </w:tc>
        <w:tc>
          <w:tcPr>
            <w:tcW w:w="678" w:type="pct"/>
            <w:gridSpan w:val="2"/>
            <w:vAlign w:val="center"/>
          </w:tcPr>
          <w:p w14:paraId="1F5149AC">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中央</w:t>
            </w:r>
          </w:p>
        </w:tc>
        <w:tc>
          <w:tcPr>
            <w:tcW w:w="675" w:type="pct"/>
            <w:gridSpan w:val="2"/>
            <w:vAlign w:val="center"/>
          </w:tcPr>
          <w:p w14:paraId="0BE56F86">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省级</w:t>
            </w:r>
          </w:p>
        </w:tc>
        <w:tc>
          <w:tcPr>
            <w:tcW w:w="673" w:type="pct"/>
            <w:gridSpan w:val="2"/>
            <w:vAlign w:val="center"/>
          </w:tcPr>
          <w:p w14:paraId="5C8BE133">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市县</w:t>
            </w:r>
          </w:p>
        </w:tc>
        <w:tc>
          <w:tcPr>
            <w:tcW w:w="680" w:type="pct"/>
            <w:gridSpan w:val="2"/>
            <w:vAlign w:val="center"/>
          </w:tcPr>
          <w:p w14:paraId="36419120">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其他</w:t>
            </w:r>
          </w:p>
        </w:tc>
        <w:tc>
          <w:tcPr>
            <w:tcW w:w="725" w:type="pct"/>
            <w:gridSpan w:val="2"/>
            <w:vMerge w:val="continue"/>
            <w:vAlign w:val="center"/>
          </w:tcPr>
          <w:p w14:paraId="169FADCC">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p>
        </w:tc>
      </w:tr>
      <w:tr w14:paraId="45E5F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329" w:hRule="atLeast"/>
          <w:jc w:val="center"/>
        </w:trPr>
        <w:tc>
          <w:tcPr>
            <w:tcW w:w="520" w:type="pct"/>
            <w:vMerge w:val="continue"/>
            <w:vAlign w:val="center"/>
          </w:tcPr>
          <w:p w14:paraId="56382D9D">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p>
        </w:tc>
        <w:tc>
          <w:tcPr>
            <w:tcW w:w="255" w:type="pct"/>
            <w:vMerge w:val="continue"/>
            <w:vAlign w:val="center"/>
          </w:tcPr>
          <w:p w14:paraId="47EFFCE5">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color w:val="auto"/>
                <w:kern w:val="0"/>
                <w:sz w:val="18"/>
                <w:szCs w:val="18"/>
                <w:highlight w:val="none"/>
              </w:rPr>
            </w:pPr>
          </w:p>
        </w:tc>
        <w:tc>
          <w:tcPr>
            <w:tcW w:w="268" w:type="pct"/>
            <w:vMerge w:val="continue"/>
            <w:vAlign w:val="center"/>
          </w:tcPr>
          <w:p w14:paraId="207CAAD3">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color w:val="auto"/>
                <w:kern w:val="0"/>
                <w:sz w:val="18"/>
                <w:szCs w:val="18"/>
                <w:highlight w:val="none"/>
              </w:rPr>
            </w:pPr>
          </w:p>
        </w:tc>
        <w:tc>
          <w:tcPr>
            <w:tcW w:w="233" w:type="pct"/>
            <w:vMerge w:val="continue"/>
            <w:vAlign w:val="center"/>
          </w:tcPr>
          <w:p w14:paraId="2E246A10">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color w:val="auto"/>
                <w:kern w:val="0"/>
                <w:sz w:val="18"/>
                <w:szCs w:val="18"/>
                <w:highlight w:val="none"/>
              </w:rPr>
            </w:pPr>
          </w:p>
        </w:tc>
        <w:tc>
          <w:tcPr>
            <w:tcW w:w="288" w:type="pct"/>
            <w:vMerge w:val="continue"/>
            <w:vAlign w:val="center"/>
          </w:tcPr>
          <w:p w14:paraId="362141E5">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eastAsia="宋体" w:cs="Times New Roman"/>
                <w:color w:val="auto"/>
                <w:kern w:val="0"/>
                <w:sz w:val="18"/>
                <w:szCs w:val="18"/>
                <w:highlight w:val="none"/>
              </w:rPr>
            </w:pPr>
          </w:p>
        </w:tc>
        <w:tc>
          <w:tcPr>
            <w:tcW w:w="327" w:type="pct"/>
            <w:vAlign w:val="center"/>
          </w:tcPr>
          <w:p w14:paraId="6CC5E1FC">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截至</w:t>
            </w:r>
          </w:p>
          <w:p w14:paraId="63CF1525">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当年底</w:t>
            </w:r>
          </w:p>
        </w:tc>
        <w:tc>
          <w:tcPr>
            <w:tcW w:w="350" w:type="pct"/>
            <w:vAlign w:val="center"/>
          </w:tcPr>
          <w:p w14:paraId="26311448">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截至第二年</w:t>
            </w:r>
          </w:p>
          <w:p w14:paraId="0D9D81D3">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6月底</w:t>
            </w:r>
          </w:p>
        </w:tc>
        <w:tc>
          <w:tcPr>
            <w:tcW w:w="327" w:type="pct"/>
            <w:vAlign w:val="center"/>
          </w:tcPr>
          <w:p w14:paraId="02077839">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截至</w:t>
            </w:r>
          </w:p>
          <w:p w14:paraId="598D3F8E">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当年底</w:t>
            </w:r>
          </w:p>
        </w:tc>
        <w:tc>
          <w:tcPr>
            <w:tcW w:w="348" w:type="pct"/>
            <w:vAlign w:val="center"/>
          </w:tcPr>
          <w:p w14:paraId="66E8234D">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截至第二年</w:t>
            </w:r>
          </w:p>
          <w:p w14:paraId="1C999DFB">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6月底</w:t>
            </w:r>
          </w:p>
        </w:tc>
        <w:tc>
          <w:tcPr>
            <w:tcW w:w="327" w:type="pct"/>
            <w:vAlign w:val="center"/>
          </w:tcPr>
          <w:p w14:paraId="1724AA4E">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截至</w:t>
            </w:r>
          </w:p>
          <w:p w14:paraId="3C472232">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当年底</w:t>
            </w:r>
          </w:p>
        </w:tc>
        <w:tc>
          <w:tcPr>
            <w:tcW w:w="345" w:type="pct"/>
            <w:vAlign w:val="center"/>
          </w:tcPr>
          <w:p w14:paraId="03444F7B">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截至第二年</w:t>
            </w:r>
          </w:p>
          <w:p w14:paraId="475ACD8F">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6月底</w:t>
            </w:r>
          </w:p>
        </w:tc>
        <w:tc>
          <w:tcPr>
            <w:tcW w:w="300" w:type="pct"/>
            <w:vAlign w:val="center"/>
          </w:tcPr>
          <w:p w14:paraId="63D3E5C9">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截至</w:t>
            </w:r>
          </w:p>
          <w:p w14:paraId="3E92D0E0">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当年底</w:t>
            </w:r>
          </w:p>
        </w:tc>
        <w:tc>
          <w:tcPr>
            <w:tcW w:w="380" w:type="pct"/>
            <w:vAlign w:val="center"/>
          </w:tcPr>
          <w:p w14:paraId="58D38CAB">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截至第二年</w:t>
            </w:r>
          </w:p>
          <w:p w14:paraId="32349A75">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6月底</w:t>
            </w:r>
          </w:p>
        </w:tc>
        <w:tc>
          <w:tcPr>
            <w:tcW w:w="349" w:type="pct"/>
            <w:vAlign w:val="center"/>
          </w:tcPr>
          <w:p w14:paraId="7DF1F6CF">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截至</w:t>
            </w:r>
          </w:p>
          <w:p w14:paraId="3208241F">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当年底</w:t>
            </w:r>
          </w:p>
        </w:tc>
        <w:tc>
          <w:tcPr>
            <w:tcW w:w="375" w:type="pct"/>
            <w:vAlign w:val="center"/>
          </w:tcPr>
          <w:p w14:paraId="69CA5E2A">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截至第二年</w:t>
            </w:r>
          </w:p>
          <w:p w14:paraId="5D8128B7">
            <w:pPr>
              <w:keepNext w:val="0"/>
              <w:keepLines w:val="0"/>
              <w:widowControl/>
              <w:suppressLineNumbers w:val="0"/>
              <w:spacing w:before="0" w:beforeAutospacing="0" w:after="0" w:afterAutospacing="0" w:line="260" w:lineRule="exact"/>
              <w:ind w:left="0" w:right="0" w:firstLine="0" w:firstLineChars="0"/>
              <w:jc w:val="center"/>
              <w:rPr>
                <w:rFonts w:hint="default" w:ascii="Times New Roman" w:hAnsi="Times New Roman" w:cs="Times New Roman"/>
                <w:color w:val="auto"/>
                <w:kern w:val="0"/>
                <w:sz w:val="18"/>
                <w:szCs w:val="18"/>
                <w:highlight w:val="none"/>
              </w:rPr>
            </w:pPr>
            <w:r>
              <w:rPr>
                <w:rFonts w:hint="default" w:ascii="Times New Roman" w:hAnsi="Times New Roman" w:cs="Times New Roman"/>
                <w:color w:val="auto"/>
                <w:kern w:val="0"/>
                <w:sz w:val="18"/>
                <w:szCs w:val="18"/>
                <w:highlight w:val="none"/>
              </w:rPr>
              <w:t>6月底</w:t>
            </w:r>
          </w:p>
        </w:tc>
      </w:tr>
      <w:tr w14:paraId="6C5CE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jc w:val="center"/>
        </w:trPr>
        <w:tc>
          <w:tcPr>
            <w:tcBorders>
              <w:top w:val="single" w:color="auto" w:sz="4" w:space="0"/>
              <w:left w:val="single" w:color="auto" w:sz="4" w:space="0"/>
              <w:bottom w:val="single" w:color="auto" w:sz="4" w:space="0"/>
              <w:right w:val="single" w:color="auto" w:sz="4" w:space="0"/>
            </w:tcBorders>
          </w:tcPr>
          <w:p w14:paraId="1B19DFE4">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白蚁防治</w:t>
            </w:r>
          </w:p>
        </w:tc>
        <w:tc>
          <w:tcPr>
            <w:tcBorders>
              <w:top w:val="single" w:color="auto" w:sz="4" w:space="0"/>
              <w:left w:val="single" w:color="auto" w:sz="4" w:space="0"/>
              <w:bottom w:val="single" w:color="auto" w:sz="4" w:space="0"/>
              <w:right w:val="single" w:color="auto" w:sz="4" w:space="0"/>
            </w:tcBorders>
          </w:tcPr>
          <w:p w14:paraId="417033CA">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17</w:t>
            </w:r>
          </w:p>
        </w:tc>
        <w:tc>
          <w:tcPr>
            <w:tcBorders>
              <w:top w:val="single" w:color="auto" w:sz="4" w:space="0"/>
              <w:left w:val="single" w:color="auto" w:sz="4" w:space="0"/>
              <w:bottom w:val="single" w:color="auto" w:sz="4" w:space="0"/>
              <w:right w:val="single" w:color="auto" w:sz="4" w:space="0"/>
            </w:tcBorders>
          </w:tcPr>
          <w:p w14:paraId="3359FD11">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0</w:t>
            </w:r>
          </w:p>
        </w:tc>
        <w:tc>
          <w:tcPr>
            <w:tcBorders>
              <w:top w:val="single" w:color="auto" w:sz="4" w:space="0"/>
              <w:left w:val="single" w:color="auto" w:sz="4" w:space="0"/>
              <w:bottom w:val="single" w:color="auto" w:sz="4" w:space="0"/>
              <w:right w:val="single" w:color="auto" w:sz="4" w:space="0"/>
            </w:tcBorders>
          </w:tcPr>
          <w:p w14:paraId="29E84B1B">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0</w:t>
            </w:r>
          </w:p>
        </w:tc>
        <w:tc>
          <w:tcPr>
            <w:tcBorders>
              <w:top w:val="single" w:color="auto" w:sz="4" w:space="0"/>
              <w:left w:val="single" w:color="auto" w:sz="4" w:space="0"/>
              <w:bottom w:val="single" w:color="auto" w:sz="4" w:space="0"/>
              <w:right w:val="single" w:color="auto" w:sz="4" w:space="0"/>
            </w:tcBorders>
          </w:tcPr>
          <w:p w14:paraId="69883665">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0</w:t>
            </w:r>
          </w:p>
        </w:tc>
        <w:tc>
          <w:tcPr>
            <w:tcBorders>
              <w:top w:val="single" w:color="auto" w:sz="4" w:space="0"/>
              <w:left w:val="single" w:color="auto" w:sz="4" w:space="0"/>
              <w:bottom w:val="single" w:color="auto" w:sz="4" w:space="0"/>
              <w:right w:val="single" w:color="auto" w:sz="4" w:space="0"/>
            </w:tcBorders>
          </w:tcPr>
          <w:p w14:paraId="7B3F2CD6">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17</w:t>
            </w:r>
          </w:p>
        </w:tc>
        <w:tc>
          <w:tcPr>
            <w:tcBorders>
              <w:top w:val="single" w:color="auto" w:sz="4" w:space="0"/>
              <w:left w:val="single" w:color="auto" w:sz="4" w:space="0"/>
              <w:bottom w:val="single" w:color="auto" w:sz="4" w:space="0"/>
              <w:right w:val="single" w:color="auto" w:sz="4" w:space="0"/>
            </w:tcBorders>
          </w:tcPr>
          <w:p w14:paraId="60AFACCD">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17</w:t>
            </w:r>
          </w:p>
        </w:tc>
        <w:tc>
          <w:tcPr>
            <w:tcBorders>
              <w:top w:val="single" w:color="auto" w:sz="4" w:space="0"/>
              <w:left w:val="single" w:color="auto" w:sz="4" w:space="0"/>
              <w:bottom w:val="single" w:color="auto" w:sz="4" w:space="0"/>
              <w:right w:val="single" w:color="auto" w:sz="4" w:space="0"/>
            </w:tcBorders>
          </w:tcPr>
          <w:p w14:paraId="2020BA8F">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0</w:t>
            </w:r>
          </w:p>
        </w:tc>
        <w:tc>
          <w:tcPr>
            <w:tcBorders>
              <w:top w:val="single" w:color="auto" w:sz="4" w:space="0"/>
              <w:left w:val="single" w:color="auto" w:sz="4" w:space="0"/>
              <w:bottom w:val="single" w:color="auto" w:sz="4" w:space="0"/>
              <w:right w:val="single" w:color="auto" w:sz="4" w:space="0"/>
            </w:tcBorders>
          </w:tcPr>
          <w:p w14:paraId="7CE07629">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0</w:t>
            </w:r>
          </w:p>
        </w:tc>
        <w:tc>
          <w:tcPr>
            <w:tcBorders>
              <w:top w:val="single" w:color="auto" w:sz="4" w:space="0"/>
              <w:left w:val="single" w:color="auto" w:sz="4" w:space="0"/>
              <w:bottom w:val="single" w:color="auto" w:sz="4" w:space="0"/>
              <w:right w:val="single" w:color="auto" w:sz="4" w:space="0"/>
            </w:tcBorders>
          </w:tcPr>
          <w:p w14:paraId="3BEB29E1">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0</w:t>
            </w:r>
          </w:p>
        </w:tc>
        <w:tc>
          <w:tcPr>
            <w:tcBorders>
              <w:top w:val="single" w:color="auto" w:sz="4" w:space="0"/>
              <w:left w:val="single" w:color="auto" w:sz="4" w:space="0"/>
              <w:bottom w:val="single" w:color="auto" w:sz="4" w:space="0"/>
              <w:right w:val="single" w:color="auto" w:sz="4" w:space="0"/>
            </w:tcBorders>
          </w:tcPr>
          <w:p w14:paraId="48530D60">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0</w:t>
            </w:r>
          </w:p>
        </w:tc>
        <w:tc>
          <w:tcPr>
            <w:tcBorders>
              <w:top w:val="single" w:color="auto" w:sz="4" w:space="0"/>
              <w:left w:val="single" w:color="auto" w:sz="4" w:space="0"/>
              <w:bottom w:val="single" w:color="auto" w:sz="4" w:space="0"/>
              <w:right w:val="single" w:color="auto" w:sz="4" w:space="0"/>
            </w:tcBorders>
          </w:tcPr>
          <w:p w14:paraId="082B8BA9">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0</w:t>
            </w:r>
          </w:p>
        </w:tc>
        <w:tc>
          <w:tcPr>
            <w:tcBorders>
              <w:top w:val="single" w:color="auto" w:sz="4" w:space="0"/>
              <w:left w:val="single" w:color="auto" w:sz="4" w:space="0"/>
              <w:bottom w:val="single" w:color="auto" w:sz="4" w:space="0"/>
              <w:right w:val="single" w:color="auto" w:sz="4" w:space="0"/>
            </w:tcBorders>
          </w:tcPr>
          <w:p w14:paraId="4D79BF28">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0</w:t>
            </w:r>
          </w:p>
        </w:tc>
        <w:tc>
          <w:tcPr>
            <w:tcBorders>
              <w:top w:val="single" w:color="auto" w:sz="4" w:space="0"/>
              <w:left w:val="single" w:color="auto" w:sz="4" w:space="0"/>
              <w:bottom w:val="single" w:color="auto" w:sz="4" w:space="0"/>
              <w:right w:val="single" w:color="auto" w:sz="4" w:space="0"/>
            </w:tcBorders>
          </w:tcPr>
          <w:p w14:paraId="793372F5">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100.00%</w:t>
            </w:r>
          </w:p>
        </w:tc>
        <w:tc>
          <w:tcPr>
            <w:tcBorders>
              <w:top w:val="single" w:color="auto" w:sz="4" w:space="0"/>
              <w:left w:val="single" w:color="auto" w:sz="4" w:space="0"/>
              <w:bottom w:val="single" w:color="auto" w:sz="4" w:space="0"/>
              <w:right w:val="single" w:color="auto" w:sz="4" w:space="0"/>
            </w:tcBorders>
          </w:tcPr>
          <w:p w14:paraId="151FEE02">
            <w:pPr>
              <w:keepNext w:val="0"/>
              <w:keepLines w:val="0"/>
              <w:widowControl/>
              <w:suppressLineNumbers w:val="0"/>
              <w:spacing w:before="0" w:beforeAutospacing="0" w:after="0" w:afterAutospacing="0" w:line="180" w:lineRule="auto"/>
              <w:ind w:left="0" w:right="0" w:firstLine="0"/>
              <w:jc w:val="center"/>
              <w:rPr>
                <w:rFonts w:hint="default"/>
              </w:rPr>
            </w:pPr>
            <w:r>
              <w:rPr>
                <w:rFonts w:hint="default" w:ascii="仿宋_GB2312" w:hAnsi="仿宋_GB2312" w:eastAsia="仿宋_GB2312" w:cs="仿宋_GB2312"/>
                <w:sz w:val="18"/>
              </w:rPr>
              <w:t>100.00%</w:t>
            </w:r>
          </w:p>
        </w:tc>
      </w:tr>
    </w:tbl>
    <w:p w14:paraId="5B8396F7">
      <w:pPr>
        <w:pStyle w:val="2"/>
        <w:rPr>
          <w:rFonts w:hint="default" w:ascii="Times New Roman" w:hAnsi="Times New Roman" w:cs="Times New Roman"/>
          <w:sz w:val="22"/>
          <w:szCs w:val="24"/>
          <w:highlight w:val="none"/>
        </w:rPr>
      </w:pPr>
    </w:p>
    <w:p w14:paraId="22CF83EA">
      <w:pPr>
        <w:pStyle w:val="2"/>
        <w:rPr>
          <w:rFonts w:hint="default" w:ascii="Times New Roman" w:hAnsi="Times New Roman" w:cs="Times New Roman"/>
          <w:sz w:val="22"/>
          <w:szCs w:val="24"/>
          <w:highlight w:val="none"/>
        </w:rPr>
        <w:sectPr>
          <w:pgSz w:w="16838" w:h="11906" w:orient="landscape"/>
          <w:pgMar w:top="1800" w:right="1440" w:bottom="1800" w:left="1440" w:header="851" w:footer="850" w:gutter="0"/>
          <w:cols w:space="425" w:num="1"/>
          <w:docGrid w:type="lines" w:linePitch="381" w:charSpace="0"/>
        </w:sectPr>
      </w:pPr>
    </w:p>
    <w:p w14:paraId="4BDFCE95">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eastAsia" w:ascii="仿宋_GB2312" w:hAnsi="仿宋_GB2312" w:eastAsia="仿宋_GB2312" w:cs="仿宋_GB2312"/>
          <w:b/>
          <w:bCs/>
          <w:sz w:val="32"/>
          <w:szCs w:val="32"/>
          <w:highlight w:val="none"/>
          <w:lang w:val="en-US" w:eastAsia="zh-CN"/>
        </w:rPr>
      </w:pPr>
      <w:r>
        <w:rPr>
          <w:rFonts w:hint="eastAsia" w:ascii="仿宋_GB2312" w:hAnsi="仿宋_GB2312" w:eastAsia="仿宋_GB2312" w:cs="仿宋_GB2312"/>
          <w:b/>
          <w:bCs/>
          <w:sz w:val="32"/>
          <w:szCs w:val="32"/>
          <w:highlight w:val="none"/>
          <w:lang w:val="en-US" w:eastAsia="zh-CN"/>
        </w:rPr>
        <w:t>3.资金支付情况</w:t>
      </w:r>
    </w:p>
    <w:p w14:paraId="11BCDDA0">
      <w:pPr>
        <w:pageBreakBefore w:val="0"/>
        <w:kinsoku/>
        <w:wordWrap/>
        <w:overflowPunct/>
        <w:topLinePunct w:val="0"/>
        <w:bidi w:val="0"/>
        <w:snapToGrid/>
        <w:spacing w:line="576" w:lineRule="exact"/>
        <w:ind w:firstLine="640"/>
        <w:textAlignment w:val="auto"/>
        <w:rPr>
          <w:rFonts w:hint="eastAsia" w:cs="Times New Roman"/>
          <w:sz w:val="32"/>
          <w:highlight w:val="none"/>
          <w:u w:val="single"/>
        </w:rPr>
      </w:pPr>
      <w:r>
        <w:rPr>
          <w:rFonts w:hint="eastAsia" w:ascii="仿宋_GB2312" w:hAnsi="仿宋_GB2312" w:eastAsia="仿宋_GB2312" w:cs="仿宋_GB2312"/>
          <w:sz w:val="32"/>
          <w:szCs w:val="32"/>
          <w:highlight w:val="none"/>
        </w:rPr>
        <w:t>截至</w:t>
      </w:r>
      <w:r>
        <w:rPr>
          <w:rFonts w:eastAsia="仿宋" w:cs="Times New Roman"/>
          <w:sz w:val="32"/>
          <w:szCs w:val="32"/>
          <w:highlight w:val="none"/>
        </w:rPr>
        <w:t>202</w:t>
      </w:r>
      <w:r>
        <w:rPr>
          <w:rFonts w:hint="eastAsia" w:eastAsia="仿宋" w:cs="Times New Roman"/>
          <w:sz w:val="32"/>
          <w:szCs w:val="32"/>
          <w:highlight w:val="none"/>
          <w:lang w:val="en-US" w:eastAsia="zh-CN"/>
        </w:rPr>
        <w:t>5</w:t>
      </w:r>
      <w:r>
        <w:rPr>
          <w:rFonts w:eastAsia="仿宋" w:cs="Times New Roman"/>
          <w:sz w:val="32"/>
          <w:szCs w:val="32"/>
          <w:highlight w:val="none"/>
        </w:rPr>
        <w:t>年6月底，</w:t>
      </w:r>
      <w:r>
        <w:rPr>
          <w:rFonts w:hint="eastAsia" w:cs="Times New Roman"/>
          <w:sz w:val="32"/>
          <w:highlight w:val="none"/>
        </w:rPr>
        <w:t>共</w:t>
      </w:r>
      <w:r>
        <w:rPr>
          <w:rFonts w:hint="eastAsia" w:cs="Times New Roman"/>
          <w:sz w:val="32"/>
          <w:highlight w:val="none"/>
          <w:lang w:val="en-US" w:eastAsia="zh-CN"/>
        </w:rPr>
        <w:t>支付</w:t>
      </w:r>
      <w:r>
        <w:rPr>
          <w:rFonts w:hint="eastAsia" w:cs="Times New Roman"/>
          <w:sz w:val="32"/>
          <w:highlight w:val="none"/>
        </w:rPr>
        <w:t>中央</w:t>
      </w:r>
      <w:r>
        <w:rPr>
          <w:rFonts w:hint="eastAsia" w:cs="Times New Roman"/>
          <w:sz w:val="32"/>
          <w:highlight w:val="none"/>
          <w:lang w:val="en-US" w:eastAsia="zh-CN"/>
        </w:rPr>
        <w:t>资金</w:t>
      </w:r>
      <w:r>
        <w:rPr>
          <w:rFonts w:hint="eastAsia" w:eastAsia="仿宋" w:cs="Times New Roman"/>
          <w:sz w:val="32"/>
          <w:szCs w:val="32"/>
          <w:highlight w:val="none"/>
          <w:lang w:val="en-US" w:eastAsia="zh-CN"/>
        </w:rPr>
        <w:t>17</w:t>
      </w:r>
      <w:r>
        <w:rPr>
          <w:rFonts w:eastAsia="仿宋" w:cs="Times New Roman"/>
          <w:sz w:val="32"/>
          <w:szCs w:val="32"/>
          <w:highlight w:val="none"/>
        </w:rPr>
        <w:t>元</w:t>
      </w:r>
      <w:r>
        <w:rPr>
          <w:rFonts w:hint="eastAsia" w:eastAsia="仿宋" w:cs="Times New Roman"/>
          <w:sz w:val="32"/>
          <w:szCs w:val="32"/>
          <w:highlight w:val="none"/>
        </w:rPr>
        <w:t>，</w:t>
      </w:r>
      <w:r>
        <w:rPr>
          <w:rFonts w:hint="eastAsia" w:eastAsia="仿宋" w:cs="Times New Roman"/>
          <w:sz w:val="32"/>
          <w:szCs w:val="32"/>
          <w:highlight w:val="none"/>
          <w:lang w:val="en-US" w:eastAsia="zh-CN"/>
        </w:rPr>
        <w:t>支付率100%</w:t>
      </w:r>
      <w:r>
        <w:rPr>
          <w:rFonts w:hint="eastAsia" w:eastAsia="仿宋" w:cs="Times New Roman"/>
          <w:sz w:val="32"/>
          <w:szCs w:val="32"/>
          <w:highlight w:val="none"/>
        </w:rPr>
        <w:t>。</w:t>
      </w:r>
    </w:p>
    <w:p w14:paraId="325D86D1">
      <w:pPr>
        <w:keepNext w:val="0"/>
        <w:keepLines w:val="0"/>
        <w:pageBreakBefore w:val="0"/>
        <w:widowControl/>
        <w:kinsoku/>
        <w:wordWrap/>
        <w:overflowPunct/>
        <w:topLinePunct w:val="0"/>
        <w:autoSpaceDE/>
        <w:autoSpaceDN/>
        <w:bidi w:val="0"/>
        <w:adjustRightInd/>
        <w:snapToGrid/>
        <w:spacing w:before="0" w:beforeLines="-2147483648" w:after="100" w:afterLines="-2147483648" w:afterAutospacing="1" w:line="576"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cs="Times New Roman"/>
          <w:highlight w:val="none"/>
        </w:rPr>
        <w:t>表</w:t>
      </w:r>
      <w:r>
        <w:rPr>
          <w:rFonts w:hint="eastAsia" w:ascii="Times New Roman" w:hAnsi="Times New Roman" w:cs="Times New Roman"/>
          <w:highlight w:val="none"/>
          <w:lang w:val="en-US" w:eastAsia="zh-CN"/>
        </w:rPr>
        <w:t>4</w:t>
      </w:r>
      <w:r>
        <w:rPr>
          <w:rFonts w:ascii="Times New Roman" w:hAnsi="Times New Roman" w:cs="Times New Roman"/>
          <w:highlight w:val="none"/>
        </w:rPr>
        <w:t xml:space="preserve">  202</w:t>
      </w:r>
      <w:r>
        <w:rPr>
          <w:rFonts w:hint="default" w:ascii="Times New Roman" w:hAnsi="Times New Roman" w:cs="Times New Roman"/>
          <w:highlight w:val="none"/>
          <w:lang w:val="en-US" w:eastAsia="zh-CN"/>
        </w:rPr>
        <w:t>4</w:t>
      </w:r>
      <w:r>
        <w:rPr>
          <w:rFonts w:hint="default" w:ascii="Times New Roman" w:hAnsi="Times New Roman" w:cs="Times New Roman"/>
          <w:highlight w:val="none"/>
        </w:rPr>
        <w:t>年度水利发展资金</w:t>
      </w:r>
      <w:r>
        <w:rPr>
          <w:rFonts w:hint="default" w:ascii="Times New Roman" w:hAnsi="Times New Roman" w:cs="Times New Roman"/>
          <w:highlight w:val="none"/>
          <w:lang w:val="en-US" w:eastAsia="zh-CN"/>
        </w:rPr>
        <w:t>支付</w:t>
      </w:r>
      <w:r>
        <w:rPr>
          <w:rFonts w:hint="default" w:ascii="Times New Roman" w:hAnsi="Times New Roman" w:cs="Times New Roman"/>
          <w:highlight w:val="none"/>
        </w:rPr>
        <w:t>情况表</w:t>
      </w:r>
    </w:p>
    <w:tbl>
      <w:tblPr>
        <w:tblStyle w:val="13"/>
        <w:tblW w:w="501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28" w:type="dxa"/>
        </w:tblCellMar>
      </w:tblPr>
      <w:tblGrid>
        <w:gridCol w:w="2167"/>
        <w:gridCol w:w="2305"/>
        <w:gridCol w:w="2034"/>
        <w:gridCol w:w="1855"/>
      </w:tblGrid>
      <w:tr w14:paraId="5C4A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2" w:hRule="atLeast"/>
          <w:tblHeader/>
          <w:jc w:val="center"/>
        </w:trPr>
        <w:tc>
          <w:tcPr>
            <w:tcW w:w="1296" w:type="pct"/>
            <w:vMerge w:val="restart"/>
            <w:vAlign w:val="center"/>
          </w:tcPr>
          <w:p w14:paraId="4FC5EB11">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576" w:lineRule="exact"/>
              <w:ind w:left="0" w:right="0" w:firstLine="0" w:firstLineChars="0"/>
              <w:jc w:val="center"/>
              <w:textAlignment w:val="auto"/>
              <w:rPr>
                <w:rFonts w:hint="eastAsia" w:ascii="仿宋_GB2312" w:hAnsi="宋体" w:eastAsia="仿宋_GB2312"/>
                <w:kern w:val="0"/>
                <w:sz w:val="18"/>
                <w:szCs w:val="18"/>
                <w:highlight w:val="none"/>
                <w:lang w:val="en-US" w:eastAsia="zh-CN"/>
              </w:rPr>
            </w:pPr>
            <w:r>
              <w:rPr>
                <w:rFonts w:hint="eastAsia" w:ascii="仿宋_GB2312" w:hAnsi="宋体"/>
                <w:kern w:val="0"/>
                <w:sz w:val="18"/>
                <w:szCs w:val="18"/>
                <w:highlight w:val="none"/>
                <w:lang w:val="en-US" w:eastAsia="zh-CN"/>
              </w:rPr>
              <w:t>分类</w:t>
            </w:r>
          </w:p>
        </w:tc>
        <w:tc>
          <w:tcPr>
            <w:tcW w:w="1378" w:type="pct"/>
            <w:vMerge w:val="restart"/>
            <w:vAlign w:val="center"/>
          </w:tcPr>
          <w:p w14:paraId="1D19E582">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576" w:lineRule="exact"/>
              <w:ind w:left="0" w:right="0" w:firstLine="0" w:firstLineChars="0"/>
              <w:jc w:val="center"/>
              <w:textAlignment w:val="auto"/>
              <w:rPr>
                <w:rFonts w:hint="eastAsia" w:ascii="仿宋_GB2312" w:hAnsi="宋体" w:eastAsia="仿宋_GB2312" w:cs="仿宋_GB2312"/>
                <w:kern w:val="0"/>
                <w:sz w:val="18"/>
                <w:szCs w:val="18"/>
                <w:highlight w:val="none"/>
                <w:lang w:val="en-US" w:eastAsia="zh-CN"/>
              </w:rPr>
            </w:pPr>
            <w:r>
              <w:rPr>
                <w:rFonts w:hint="eastAsia" w:ascii="仿宋_GB2312" w:hAnsi="宋体" w:eastAsia="仿宋_GB2312" w:cs="仿宋_GB2312"/>
                <w:kern w:val="0"/>
                <w:sz w:val="18"/>
                <w:szCs w:val="18"/>
                <w:highlight w:val="none"/>
                <w:lang w:val="en-US" w:eastAsia="zh-CN"/>
              </w:rPr>
              <w:t>批复中央</w:t>
            </w:r>
            <w:r>
              <w:rPr>
                <w:rFonts w:hint="eastAsia" w:ascii="仿宋_GB2312" w:hAnsi="宋体" w:cs="仿宋_GB2312"/>
                <w:kern w:val="0"/>
                <w:sz w:val="18"/>
                <w:szCs w:val="18"/>
                <w:highlight w:val="none"/>
                <w:lang w:val="en-US" w:eastAsia="zh-CN"/>
              </w:rPr>
              <w:t>资金</w:t>
            </w:r>
            <w:r>
              <w:rPr>
                <w:rFonts w:hint="eastAsia" w:ascii="仿宋_GB2312" w:hAnsi="宋体" w:eastAsia="仿宋_GB2312" w:cs="仿宋_GB2312"/>
                <w:kern w:val="0"/>
                <w:sz w:val="18"/>
                <w:szCs w:val="18"/>
                <w:highlight w:val="none"/>
                <w:lang w:val="en-US" w:eastAsia="zh-CN"/>
              </w:rPr>
              <w:t>（万元）</w:t>
            </w:r>
          </w:p>
        </w:tc>
        <w:tc>
          <w:tcPr>
            <w:tcW w:w="2325" w:type="pct"/>
            <w:gridSpan w:val="2"/>
            <w:vAlign w:val="center"/>
          </w:tcPr>
          <w:p w14:paraId="4959C6BE">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576" w:lineRule="exact"/>
              <w:ind w:left="0" w:right="0" w:firstLine="0" w:firstLineChars="0"/>
              <w:jc w:val="center"/>
              <w:textAlignment w:val="auto"/>
              <w:rPr>
                <w:rFonts w:hint="eastAsia" w:ascii="仿宋_GB2312" w:hAnsi="宋体" w:cs="仿宋_GB2312"/>
                <w:kern w:val="0"/>
                <w:sz w:val="18"/>
                <w:szCs w:val="18"/>
                <w:highlight w:val="none"/>
              </w:rPr>
            </w:pPr>
            <w:r>
              <w:rPr>
                <w:rFonts w:hint="eastAsia" w:ascii="仿宋_GB2312" w:hAnsi="宋体" w:cs="仿宋_GB2312"/>
                <w:kern w:val="0"/>
                <w:sz w:val="18"/>
                <w:szCs w:val="18"/>
                <w:highlight w:val="none"/>
              </w:rPr>
              <w:t>截至第二年</w:t>
            </w:r>
            <w:r>
              <w:rPr>
                <w:rFonts w:hint="default" w:ascii="Times New Roman" w:hAnsi="Times New Roman" w:cs="Times New Roman"/>
                <w:kern w:val="0"/>
                <w:sz w:val="18"/>
                <w:szCs w:val="18"/>
                <w:highlight w:val="none"/>
              </w:rPr>
              <w:t>6</w:t>
            </w:r>
            <w:r>
              <w:rPr>
                <w:rFonts w:hint="eastAsia" w:ascii="仿宋_GB2312" w:hAnsi="宋体" w:cs="仿宋_GB2312"/>
                <w:kern w:val="0"/>
                <w:sz w:val="18"/>
                <w:szCs w:val="18"/>
                <w:highlight w:val="none"/>
              </w:rPr>
              <w:t>月底</w:t>
            </w:r>
          </w:p>
        </w:tc>
      </w:tr>
      <w:tr w14:paraId="4A7D4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trHeight w:val="552" w:hRule="atLeast"/>
          <w:tblHeader/>
          <w:jc w:val="center"/>
        </w:trPr>
        <w:tc>
          <w:tcPr>
            <w:tcW w:w="1296" w:type="pct"/>
            <w:vMerge w:val="continue"/>
            <w:vAlign w:val="center"/>
          </w:tcPr>
          <w:p w14:paraId="5B3C7B33">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576" w:lineRule="exact"/>
              <w:ind w:left="0" w:right="0" w:firstLine="0" w:firstLineChars="0"/>
              <w:jc w:val="center"/>
              <w:textAlignment w:val="auto"/>
              <w:rPr>
                <w:rFonts w:hint="eastAsia" w:ascii="仿宋_GB2312" w:hAnsi="宋体"/>
                <w:kern w:val="0"/>
                <w:sz w:val="18"/>
                <w:szCs w:val="18"/>
                <w:highlight w:val="none"/>
                <w:lang w:val="en-US" w:eastAsia="zh-CN"/>
              </w:rPr>
            </w:pPr>
          </w:p>
        </w:tc>
        <w:tc>
          <w:tcPr>
            <w:tcW w:w="1378" w:type="pct"/>
            <w:vMerge w:val="continue"/>
            <w:vAlign w:val="center"/>
          </w:tcPr>
          <w:p w14:paraId="4F5F77A2">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576" w:lineRule="exact"/>
              <w:ind w:left="0" w:right="0" w:firstLine="0" w:firstLineChars="0"/>
              <w:jc w:val="center"/>
              <w:textAlignment w:val="auto"/>
              <w:rPr>
                <w:rFonts w:hint="default" w:ascii="宋体" w:hAnsi="宋体" w:eastAsia="宋体"/>
                <w:kern w:val="0"/>
                <w:sz w:val="18"/>
                <w:szCs w:val="18"/>
                <w:highlight w:val="none"/>
              </w:rPr>
            </w:pPr>
          </w:p>
        </w:tc>
        <w:tc>
          <w:tcPr>
            <w:tcW w:w="1216" w:type="pct"/>
            <w:vAlign w:val="center"/>
          </w:tcPr>
          <w:p w14:paraId="6E95E996">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576" w:lineRule="exact"/>
              <w:ind w:left="0" w:right="0" w:firstLine="0" w:firstLineChars="0"/>
              <w:jc w:val="center"/>
              <w:textAlignment w:val="auto"/>
              <w:rPr>
                <w:rFonts w:hint="default" w:ascii="宋体" w:hAnsi="宋体" w:eastAsia="宋体"/>
                <w:kern w:val="0"/>
                <w:sz w:val="18"/>
                <w:szCs w:val="18"/>
                <w:highlight w:val="none"/>
              </w:rPr>
            </w:pPr>
            <w:r>
              <w:rPr>
                <w:rFonts w:hint="eastAsia" w:ascii="仿宋_GB2312" w:hAnsi="宋体" w:cs="仿宋_GB2312"/>
                <w:kern w:val="0"/>
                <w:sz w:val="18"/>
                <w:szCs w:val="18"/>
                <w:highlight w:val="none"/>
                <w:lang w:val="en-US" w:eastAsia="zh-CN"/>
              </w:rPr>
              <w:t>支付中央资金（万元）</w:t>
            </w:r>
          </w:p>
        </w:tc>
        <w:tc>
          <w:tcPr>
            <w:tcW w:w="1109" w:type="pct"/>
            <w:vAlign w:val="center"/>
          </w:tcPr>
          <w:p w14:paraId="440B2557">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576" w:lineRule="exact"/>
              <w:ind w:left="0" w:right="0" w:firstLine="0" w:firstLineChars="0"/>
              <w:jc w:val="center"/>
              <w:textAlignment w:val="auto"/>
              <w:rPr>
                <w:rFonts w:hint="default" w:ascii="宋体" w:hAnsi="宋体" w:eastAsia="宋体"/>
                <w:kern w:val="0"/>
                <w:sz w:val="18"/>
                <w:szCs w:val="18"/>
                <w:highlight w:val="none"/>
              </w:rPr>
            </w:pPr>
            <w:r>
              <w:rPr>
                <w:rFonts w:hint="eastAsia" w:ascii="仿宋_GB2312" w:hAnsi="宋体" w:cs="仿宋_GB2312"/>
                <w:kern w:val="0"/>
                <w:sz w:val="18"/>
                <w:szCs w:val="18"/>
                <w:highlight w:val="none"/>
                <w:lang w:val="en-US" w:eastAsia="zh-CN"/>
              </w:rPr>
              <w:t>中央资金支付率（%）</w:t>
            </w:r>
          </w:p>
        </w:tc>
      </w:tr>
      <w:tr w14:paraId="73FC7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28" w:type="dxa"/>
          </w:tblCellMar>
        </w:tblPrEx>
        <w:trPr>
          <w:jc w:val="center"/>
        </w:trPr>
        <w:tc>
          <w:tcPr>
            <w:tcBorders>
              <w:top w:val="single" w:color="auto" w:sz="4" w:space="0"/>
              <w:left w:val="single" w:color="auto" w:sz="4" w:space="0"/>
              <w:bottom w:val="single" w:color="auto" w:sz="4" w:space="0"/>
              <w:right w:val="single" w:color="auto" w:sz="4" w:space="0"/>
            </w:tcBorders>
          </w:tcPr>
          <w:p w14:paraId="564B97BE">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576" w:lineRule="exact"/>
              <w:ind w:left="0" w:right="0" w:firstLine="0"/>
              <w:jc w:val="center"/>
              <w:textAlignment w:val="auto"/>
              <w:rPr>
                <w:rFonts w:hint="default"/>
                <w:sz w:val="21"/>
                <w:szCs w:val="21"/>
              </w:rPr>
            </w:pPr>
            <w:r>
              <w:rPr>
                <w:rFonts w:hint="default" w:ascii="仿宋_GB2312" w:hAnsi="仿宋_GB2312" w:eastAsia="仿宋_GB2312" w:cs="仿宋_GB2312"/>
                <w:sz w:val="21"/>
                <w:szCs w:val="21"/>
              </w:rPr>
              <w:t>白蚁防治</w:t>
            </w:r>
          </w:p>
        </w:tc>
        <w:tc>
          <w:tcPr>
            <w:tcBorders>
              <w:top w:val="single" w:color="auto" w:sz="4" w:space="0"/>
              <w:left w:val="single" w:color="auto" w:sz="4" w:space="0"/>
              <w:bottom w:val="single" w:color="auto" w:sz="4" w:space="0"/>
              <w:right w:val="single" w:color="auto" w:sz="4" w:space="0"/>
            </w:tcBorders>
          </w:tcPr>
          <w:p w14:paraId="5078D4D3">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576" w:lineRule="exact"/>
              <w:ind w:left="0" w:right="0" w:firstLine="0"/>
              <w:jc w:val="center"/>
              <w:textAlignment w:val="auto"/>
              <w:rPr>
                <w:rFonts w:hint="default"/>
                <w:sz w:val="21"/>
                <w:szCs w:val="21"/>
              </w:rPr>
            </w:pPr>
            <w:r>
              <w:rPr>
                <w:rFonts w:hint="default" w:ascii="仿宋_GB2312" w:hAnsi="仿宋_GB2312" w:eastAsia="仿宋_GB2312" w:cs="仿宋_GB2312"/>
                <w:sz w:val="21"/>
                <w:szCs w:val="21"/>
              </w:rPr>
              <w:t>17</w:t>
            </w:r>
          </w:p>
        </w:tc>
        <w:tc>
          <w:tcPr>
            <w:tcBorders>
              <w:top w:val="single" w:color="auto" w:sz="4" w:space="0"/>
              <w:left w:val="single" w:color="auto" w:sz="4" w:space="0"/>
              <w:bottom w:val="single" w:color="auto" w:sz="4" w:space="0"/>
              <w:right w:val="single" w:color="auto" w:sz="4" w:space="0"/>
            </w:tcBorders>
          </w:tcPr>
          <w:p w14:paraId="63690D7C">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576" w:lineRule="exact"/>
              <w:ind w:left="0" w:right="0" w:firstLine="0"/>
              <w:jc w:val="center"/>
              <w:textAlignment w:val="auto"/>
              <w:rPr>
                <w:rFonts w:hint="default"/>
                <w:sz w:val="21"/>
                <w:szCs w:val="21"/>
              </w:rPr>
            </w:pPr>
            <w:r>
              <w:rPr>
                <w:rFonts w:hint="default" w:ascii="仿宋_GB2312" w:hAnsi="仿宋_GB2312" w:eastAsia="仿宋_GB2312" w:cs="仿宋_GB2312"/>
                <w:sz w:val="21"/>
                <w:szCs w:val="21"/>
              </w:rPr>
              <w:t>17</w:t>
            </w:r>
          </w:p>
        </w:tc>
        <w:tc>
          <w:tcPr>
            <w:tcBorders>
              <w:top w:val="single" w:color="auto" w:sz="4" w:space="0"/>
              <w:left w:val="single" w:color="auto" w:sz="4" w:space="0"/>
              <w:bottom w:val="single" w:color="auto" w:sz="4" w:space="0"/>
              <w:right w:val="single" w:color="auto" w:sz="4" w:space="0"/>
            </w:tcBorders>
          </w:tcPr>
          <w:p w14:paraId="6FD268A4">
            <w:pPr>
              <w:keepNext w:val="0"/>
              <w:keepLines w:val="0"/>
              <w:pageBreakBefore w:val="0"/>
              <w:widowControl/>
              <w:suppressLineNumbers w:val="0"/>
              <w:kinsoku/>
              <w:wordWrap/>
              <w:overflowPunct/>
              <w:topLinePunct w:val="0"/>
              <w:autoSpaceDE/>
              <w:autoSpaceDN/>
              <w:bidi w:val="0"/>
              <w:adjustRightInd/>
              <w:snapToGrid/>
              <w:spacing w:before="0" w:beforeAutospacing="0" w:after="100" w:afterAutospacing="1" w:line="576" w:lineRule="exact"/>
              <w:ind w:left="0" w:right="0" w:firstLine="0"/>
              <w:jc w:val="center"/>
              <w:textAlignment w:val="auto"/>
              <w:rPr>
                <w:rFonts w:hint="default"/>
                <w:sz w:val="21"/>
                <w:szCs w:val="21"/>
              </w:rPr>
            </w:pPr>
            <w:r>
              <w:rPr>
                <w:rFonts w:hint="default" w:ascii="仿宋_GB2312" w:hAnsi="仿宋_GB2312" w:eastAsia="仿宋_GB2312" w:cs="仿宋_GB2312"/>
                <w:sz w:val="21"/>
                <w:szCs w:val="21"/>
              </w:rPr>
              <w:t>100%</w:t>
            </w:r>
          </w:p>
        </w:tc>
      </w:tr>
    </w:tbl>
    <w:p w14:paraId="5A9081A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default" w:ascii="Times New Roman" w:hAnsi="Times New Roman" w:cs="Times New Roman"/>
          <w:b/>
          <w:bCs/>
          <w:sz w:val="32"/>
          <w:szCs w:val="32"/>
          <w:highlight w:val="none"/>
        </w:rPr>
      </w:pPr>
      <w:r>
        <w:rPr>
          <w:rFonts w:hint="eastAsia" w:cs="Times New Roman"/>
          <w:b/>
          <w:bCs/>
          <w:sz w:val="32"/>
          <w:szCs w:val="32"/>
          <w:highlight w:val="none"/>
          <w:lang w:val="en-US" w:eastAsia="zh-CN"/>
        </w:rPr>
        <w:t>4</w:t>
      </w:r>
      <w:r>
        <w:rPr>
          <w:rFonts w:hint="default" w:ascii="Times New Roman" w:hAnsi="Times New Roman" w:cs="Times New Roman"/>
          <w:b/>
          <w:bCs/>
          <w:sz w:val="32"/>
          <w:szCs w:val="32"/>
          <w:highlight w:val="none"/>
        </w:rPr>
        <w:t>.资金管理情况</w:t>
      </w:r>
    </w:p>
    <w:p w14:paraId="11CF1180">
      <w:pPr>
        <w:pageBreakBefore w:val="0"/>
        <w:widowControl w:val="0"/>
        <w:kinsoku/>
        <w:wordWrap/>
        <w:overflowPunct/>
        <w:topLinePunct w:val="0"/>
        <w:autoSpaceDE w:val="0"/>
        <w:autoSpaceDN w:val="0"/>
        <w:bidi w:val="0"/>
        <w:adjustRightInd w:val="0"/>
        <w:snapToGrid/>
        <w:spacing w:after="200" w:line="576" w:lineRule="exact"/>
        <w:ind w:firstLine="640" w:firstLineChars="200"/>
        <w:textAlignment w:val="auto"/>
        <w:rPr>
          <w:rFonts w:hint="default" w:ascii="Times New Roman" w:hAnsi="Times New Roman" w:eastAsia="方正小标宋简体" w:cs="Times New Roman"/>
          <w:color w:val="000000"/>
          <w:sz w:val="24"/>
          <w:szCs w:val="22"/>
          <w:highlight w:val="none"/>
          <w:lang w:val="en-US" w:eastAsia="zh-CN" w:bidi="ar-SA"/>
        </w:rPr>
      </w:pPr>
      <w:r>
        <w:rPr>
          <w:rFonts w:hint="eastAsia" w:ascii="Times New Roman" w:hAnsi="Times New Roman" w:eastAsia="仿宋_GB2312" w:cs="Times New Roman"/>
          <w:color w:val="000000"/>
          <w:sz w:val="32"/>
          <w:szCs w:val="32"/>
          <w:highlight w:val="none"/>
          <w:lang w:val="en-US" w:eastAsia="zh-CN" w:bidi="ar-SA"/>
        </w:rPr>
        <w:t>202</w:t>
      </w:r>
      <w:r>
        <w:rPr>
          <w:rFonts w:hint="eastAsia" w:cs="Times New Roman"/>
          <w:color w:val="000000"/>
          <w:sz w:val="32"/>
          <w:szCs w:val="32"/>
          <w:highlight w:val="none"/>
          <w:lang w:val="en-US" w:eastAsia="zh-CN" w:bidi="ar-SA"/>
        </w:rPr>
        <w:t>4</w:t>
      </w:r>
      <w:r>
        <w:rPr>
          <w:rFonts w:hint="eastAsia" w:ascii="Times New Roman" w:hAnsi="Times New Roman" w:eastAsia="仿宋_GB2312" w:cs="Times New Roman"/>
          <w:color w:val="000000"/>
          <w:sz w:val="32"/>
          <w:szCs w:val="32"/>
          <w:highlight w:val="none"/>
          <w:lang w:val="en-US" w:eastAsia="zh-CN" w:bidi="ar-SA"/>
        </w:rPr>
        <w:t>年度，</w:t>
      </w:r>
      <w:r>
        <w:rPr>
          <w:rFonts w:hint="eastAsia" w:ascii="Times New Roman" w:hAnsi="Times New Roman" w:eastAsia="仿宋_GB2312" w:cs="Times New Roman"/>
          <w:color w:val="auto"/>
          <w:kern w:val="2"/>
          <w:sz w:val="32"/>
          <w:szCs w:val="32"/>
          <w:highlight w:val="none"/>
          <w:lang w:val="en-US" w:eastAsia="zh-CN" w:bidi="ar-SA"/>
        </w:rPr>
        <w:t>中央水利发展资金下达</w:t>
      </w:r>
      <w:r>
        <w:rPr>
          <w:rFonts w:hint="eastAsia" w:ascii="Times New Roman" w:hAnsi="Times New Roman" w:eastAsia="仿宋_GB2312" w:cs="Times New Roman"/>
          <w:color w:val="auto"/>
          <w:kern w:val="2"/>
          <w:sz w:val="32"/>
          <w:szCs w:val="32"/>
          <w:highlight w:val="none"/>
          <w:u w:val="none"/>
          <w:lang w:val="en-US" w:eastAsia="zh-CN" w:bidi="ar-SA"/>
        </w:rPr>
        <w:t>我区</w:t>
      </w:r>
      <w:r>
        <w:rPr>
          <w:rFonts w:hint="eastAsia" w:ascii="Times New Roman" w:hAnsi="Times New Roman" w:eastAsia="仿宋_GB2312" w:cs="Times New Roman"/>
          <w:color w:val="auto"/>
          <w:kern w:val="2"/>
          <w:sz w:val="32"/>
          <w:szCs w:val="32"/>
          <w:highlight w:val="none"/>
          <w:lang w:val="en-US" w:eastAsia="zh-CN" w:bidi="ar-SA"/>
        </w:rPr>
        <w:t>资金</w:t>
      </w:r>
      <w:r>
        <w:rPr>
          <w:rFonts w:hint="eastAsia" w:cs="Times New Roman"/>
          <w:color w:val="auto"/>
          <w:kern w:val="2"/>
          <w:sz w:val="32"/>
          <w:szCs w:val="32"/>
          <w:highlight w:val="none"/>
          <w:lang w:val="en-US" w:eastAsia="zh-CN" w:bidi="ar-SA"/>
        </w:rPr>
        <w:t>17</w:t>
      </w:r>
      <w:r>
        <w:rPr>
          <w:rFonts w:hint="eastAsia" w:ascii="Times New Roman" w:hAnsi="Times New Roman" w:eastAsia="仿宋_GB2312" w:cs="Times New Roman"/>
          <w:color w:val="auto"/>
          <w:kern w:val="2"/>
          <w:sz w:val="32"/>
          <w:szCs w:val="32"/>
          <w:highlight w:val="none"/>
          <w:lang w:val="en-US" w:eastAsia="zh-CN" w:bidi="ar-SA"/>
        </w:rPr>
        <w:t>万元，在相关检查中</w:t>
      </w:r>
      <w:r>
        <w:rPr>
          <w:rFonts w:hint="eastAsia" w:ascii="Times New Roman" w:hAnsi="Times New Roman" w:eastAsia="仿宋_GB2312" w:cs="Times New Roman"/>
          <w:color w:val="auto"/>
          <w:kern w:val="2"/>
          <w:sz w:val="32"/>
          <w:szCs w:val="32"/>
          <w:highlight w:val="none"/>
          <w:u w:val="none"/>
          <w:lang w:val="en-US" w:eastAsia="zh-CN" w:bidi="ar-SA"/>
        </w:rPr>
        <w:t>无</w:t>
      </w:r>
      <w:r>
        <w:rPr>
          <w:rFonts w:hint="eastAsia" w:ascii="Times New Roman" w:hAnsi="Times New Roman" w:eastAsia="仿宋_GB2312" w:cs="Times New Roman"/>
          <w:color w:val="auto"/>
          <w:kern w:val="2"/>
          <w:sz w:val="32"/>
          <w:szCs w:val="32"/>
          <w:highlight w:val="none"/>
          <w:lang w:val="en-US" w:eastAsia="zh-CN" w:bidi="ar-SA"/>
        </w:rPr>
        <w:t>违纪违规问题。</w:t>
      </w:r>
    </w:p>
    <w:p w14:paraId="55A07369">
      <w:pPr>
        <w:pStyle w:val="4"/>
        <w:keepNext/>
        <w:keepLines/>
        <w:pageBreakBefore w:val="0"/>
        <w:widowControl/>
        <w:kinsoku/>
        <w:wordWrap/>
        <w:overflowPunct/>
        <w:topLinePunct w:val="0"/>
        <w:autoSpaceDE/>
        <w:autoSpaceDN/>
        <w:bidi w:val="0"/>
        <w:adjustRightInd/>
        <w:snapToGrid/>
        <w:spacing w:line="576" w:lineRule="exact"/>
        <w:ind w:firstLine="643"/>
        <w:textAlignment w:val="auto"/>
        <w:rPr>
          <w:rFonts w:hint="default" w:ascii="Times New Roman" w:hAnsi="Times New Roman" w:eastAsia="楷体_GB2312" w:cs="Times New Roman"/>
          <w:b/>
          <w:bCs w:val="0"/>
          <w:sz w:val="32"/>
          <w:highlight w:val="none"/>
        </w:rPr>
      </w:pPr>
      <w:r>
        <w:rPr>
          <w:rFonts w:hint="default" w:ascii="Times New Roman" w:hAnsi="Times New Roman" w:eastAsia="楷体_GB2312" w:cs="Times New Roman"/>
          <w:b/>
          <w:bCs w:val="0"/>
          <w:sz w:val="32"/>
          <w:highlight w:val="none"/>
        </w:rPr>
        <w:t>（</w:t>
      </w:r>
      <w:r>
        <w:rPr>
          <w:rFonts w:hint="eastAsia" w:eastAsia="楷体_GB2312" w:cs="Times New Roman"/>
          <w:b/>
          <w:bCs w:val="0"/>
          <w:sz w:val="32"/>
          <w:highlight w:val="none"/>
          <w:lang w:val="en-US" w:eastAsia="zh-CN"/>
        </w:rPr>
        <w:t>三</w:t>
      </w:r>
      <w:r>
        <w:rPr>
          <w:rFonts w:hint="default" w:ascii="Times New Roman" w:hAnsi="Times New Roman" w:eastAsia="楷体_GB2312" w:cs="Times New Roman"/>
          <w:b/>
          <w:bCs w:val="0"/>
          <w:sz w:val="32"/>
          <w:highlight w:val="none"/>
        </w:rPr>
        <w:t>）项目管理情况分析</w:t>
      </w:r>
    </w:p>
    <w:p w14:paraId="5DBBF1A2">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1.组织实施</w:t>
      </w:r>
    </w:p>
    <w:p w14:paraId="456B1FD4">
      <w:pPr>
        <w:pStyle w:val="2"/>
        <w:pageBreakBefore w:val="0"/>
        <w:kinsoku/>
        <w:wordWrap/>
        <w:overflowPunct/>
        <w:topLinePunct w:val="0"/>
        <w:bidi w:val="0"/>
        <w:snapToGrid/>
        <w:spacing w:line="576" w:lineRule="exact"/>
        <w:ind w:firstLine="640"/>
        <w:textAlignment w:val="auto"/>
        <w:rPr>
          <w:rFonts w:hint="eastAsia" w:ascii="Times New Roman" w:hAnsi="Times New Roman" w:eastAsia="仿宋_GB2312"/>
          <w:sz w:val="32"/>
          <w:szCs w:val="32"/>
          <w:highlight w:val="none"/>
          <w:u w:val="none"/>
          <w:lang w:eastAsia="zh-CN"/>
        </w:rPr>
      </w:pPr>
      <w:r>
        <w:rPr>
          <w:rFonts w:hint="default" w:ascii="Times New Roman" w:hAnsi="Times New Roman"/>
          <w:sz w:val="32"/>
          <w:szCs w:val="32"/>
          <w:highlight w:val="none"/>
          <w:u w:val="none"/>
        </w:rPr>
        <w:t>为了加强中央水利发展资金的使用规范以及使用效率，我区建立使用中央资金的项目台账，每月按时填报</w:t>
      </w:r>
      <w:r>
        <w:rPr>
          <w:rFonts w:hint="eastAsia"/>
          <w:sz w:val="32"/>
          <w:szCs w:val="32"/>
          <w:highlight w:val="none"/>
          <w:u w:val="none"/>
          <w:lang w:eastAsia="zh-CN"/>
        </w:rPr>
        <w:t>《</w:t>
      </w:r>
      <w:r>
        <w:rPr>
          <w:rFonts w:hint="eastAsia"/>
          <w:sz w:val="32"/>
          <w:szCs w:val="32"/>
          <w:highlight w:val="none"/>
          <w:u w:val="none"/>
          <w:lang w:val="en-US" w:eastAsia="zh-CN"/>
        </w:rPr>
        <w:t>蓬江区2024年度运管工作任务完成进度月报表</w:t>
      </w:r>
      <w:r>
        <w:rPr>
          <w:rFonts w:hint="eastAsia"/>
          <w:sz w:val="32"/>
          <w:szCs w:val="32"/>
          <w:highlight w:val="none"/>
          <w:u w:val="none"/>
          <w:lang w:eastAsia="zh-CN"/>
        </w:rPr>
        <w:t>》</w:t>
      </w:r>
    </w:p>
    <w:p w14:paraId="4163A09F">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2.绩效管理</w:t>
      </w:r>
    </w:p>
    <w:p w14:paraId="56E6A899">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default" w:ascii="Times New Roman" w:hAnsi="Times New Roman"/>
          <w:sz w:val="32"/>
          <w:szCs w:val="32"/>
          <w:highlight w:val="none"/>
          <w:u w:val="none"/>
        </w:rPr>
      </w:pPr>
      <w:r>
        <w:rPr>
          <w:rFonts w:hint="default" w:ascii="Times New Roman" w:hAnsi="Times New Roman"/>
          <w:sz w:val="32"/>
          <w:szCs w:val="32"/>
          <w:highlight w:val="none"/>
          <w:u w:val="none"/>
        </w:rPr>
        <w:t>为保证绩效管理工作高效有序开展。我区制定出台了《江门市蓬江区政府性资金重大政策和项目绩效审核专责小组事前绩效管理工作机制（修订稿）</w:t>
      </w:r>
      <w:r>
        <w:rPr>
          <w:rFonts w:hint="eastAsia"/>
          <w:sz w:val="32"/>
          <w:szCs w:val="32"/>
          <w:highlight w:val="none"/>
          <w:u w:val="none"/>
          <w:lang w:eastAsia="zh-CN"/>
        </w:rPr>
        <w:t>》《</w:t>
      </w:r>
      <w:r>
        <w:rPr>
          <w:rFonts w:hint="default" w:ascii="Times New Roman" w:hAnsi="Times New Roman"/>
          <w:sz w:val="32"/>
          <w:szCs w:val="32"/>
          <w:highlight w:val="none"/>
          <w:u w:val="none"/>
        </w:rPr>
        <w:t>蓬江区财政资金事前绩效评估管理实施细则</w:t>
      </w:r>
      <w:r>
        <w:rPr>
          <w:rFonts w:hint="eastAsia"/>
          <w:sz w:val="32"/>
          <w:szCs w:val="32"/>
          <w:highlight w:val="none"/>
          <w:u w:val="none"/>
          <w:lang w:eastAsia="zh-CN"/>
        </w:rPr>
        <w:t>》《</w:t>
      </w:r>
      <w:r>
        <w:rPr>
          <w:rFonts w:hint="default" w:ascii="Times New Roman" w:hAnsi="Times New Roman"/>
          <w:sz w:val="32"/>
          <w:szCs w:val="32"/>
          <w:highlight w:val="none"/>
          <w:u w:val="none"/>
        </w:rPr>
        <w:t>蓬江区本级专项资金管理办法》。根据《广东省水利厅 广东省财政厅关于开展2024年度水利发展资金绩效评价工作的通知》（粤水财务函〔2025〕711号）要求，做好202</w:t>
      </w:r>
      <w:r>
        <w:rPr>
          <w:rFonts w:hint="eastAsia"/>
          <w:sz w:val="32"/>
          <w:szCs w:val="32"/>
          <w:highlight w:val="none"/>
          <w:u w:val="none"/>
          <w:lang w:val="en-US" w:eastAsia="zh-CN"/>
        </w:rPr>
        <w:t>4</w:t>
      </w:r>
      <w:r>
        <w:rPr>
          <w:rFonts w:hint="default" w:ascii="Times New Roman" w:hAnsi="Times New Roman"/>
          <w:sz w:val="32"/>
          <w:szCs w:val="32"/>
          <w:highlight w:val="none"/>
          <w:u w:val="none"/>
        </w:rPr>
        <w:t>年中央水利发展资金绩效自评工作，进一步规范和加强水利基本建设资金管理、保证资金合法、有效使用，提高投资效益。</w:t>
      </w:r>
    </w:p>
    <w:p w14:paraId="47BF9DBD">
      <w:pPr>
        <w:pStyle w:val="4"/>
        <w:keepNext/>
        <w:keepLines/>
        <w:pageBreakBefore w:val="0"/>
        <w:widowControl/>
        <w:kinsoku/>
        <w:wordWrap/>
        <w:overflowPunct/>
        <w:topLinePunct w:val="0"/>
        <w:autoSpaceDE/>
        <w:autoSpaceDN/>
        <w:bidi w:val="0"/>
        <w:adjustRightInd/>
        <w:snapToGrid/>
        <w:spacing w:line="576" w:lineRule="exact"/>
        <w:ind w:firstLine="643"/>
        <w:textAlignment w:val="auto"/>
        <w:rPr>
          <w:rFonts w:hint="default" w:ascii="Times New Roman" w:hAnsi="Times New Roman" w:eastAsia="楷体_GB2312" w:cs="Times New Roman"/>
          <w:b/>
          <w:bCs w:val="0"/>
          <w:sz w:val="32"/>
          <w:highlight w:val="none"/>
        </w:rPr>
      </w:pPr>
      <w:r>
        <w:rPr>
          <w:rFonts w:hint="default" w:ascii="Times New Roman" w:hAnsi="Times New Roman" w:eastAsia="楷体_GB2312" w:cs="Times New Roman"/>
          <w:b/>
          <w:bCs w:val="0"/>
          <w:sz w:val="32"/>
          <w:highlight w:val="none"/>
        </w:rPr>
        <w:t>（</w:t>
      </w:r>
      <w:r>
        <w:rPr>
          <w:rFonts w:hint="eastAsia" w:eastAsia="楷体_GB2312" w:cs="Times New Roman"/>
          <w:b/>
          <w:bCs w:val="0"/>
          <w:sz w:val="32"/>
          <w:highlight w:val="none"/>
          <w:lang w:val="en-US" w:eastAsia="zh-CN"/>
        </w:rPr>
        <w:t>四</w:t>
      </w:r>
      <w:r>
        <w:rPr>
          <w:rFonts w:hint="default" w:ascii="Times New Roman" w:hAnsi="Times New Roman" w:eastAsia="楷体_GB2312" w:cs="Times New Roman"/>
          <w:b/>
          <w:bCs w:val="0"/>
          <w:sz w:val="32"/>
          <w:highlight w:val="none"/>
        </w:rPr>
        <w:t>）产出指标完成情况分析</w:t>
      </w:r>
    </w:p>
    <w:p w14:paraId="06740AB6">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1.项目数量指标</w:t>
      </w:r>
    </w:p>
    <w:p w14:paraId="765F6D1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Chars="200"/>
        <w:textAlignment w:val="auto"/>
        <w:outlineLvl w:val="3"/>
        <w:rPr>
          <w:rFonts w:hint="default" w:ascii="Times New Roman" w:hAnsi="Times New Roman" w:cs="Times New Roman"/>
          <w:sz w:val="32"/>
          <w:szCs w:val="32"/>
          <w:highlight w:val="none"/>
        </w:rPr>
      </w:pPr>
      <w:r>
        <w:rPr>
          <w:rFonts w:hint="eastAsia" w:cs="Times New Roman"/>
          <w:sz w:val="32"/>
          <w:szCs w:val="32"/>
          <w:highlight w:val="none"/>
          <w:lang w:eastAsia="zh-CN"/>
        </w:rPr>
        <w:t>（</w:t>
      </w:r>
      <w:r>
        <w:rPr>
          <w:rFonts w:hint="eastAsia" w:cs="Times New Roman"/>
          <w:sz w:val="32"/>
          <w:szCs w:val="32"/>
          <w:highlight w:val="none"/>
          <w:lang w:val="en-US" w:eastAsia="zh-CN"/>
        </w:rPr>
        <w:t>1</w:t>
      </w:r>
      <w:r>
        <w:rPr>
          <w:rFonts w:hint="eastAsia" w:cs="Times New Roman"/>
          <w:sz w:val="32"/>
          <w:szCs w:val="32"/>
          <w:highlight w:val="none"/>
          <w:lang w:eastAsia="zh-CN"/>
        </w:rPr>
        <w:t>）</w:t>
      </w:r>
      <w:r>
        <w:rPr>
          <w:rFonts w:hint="default" w:ascii="Times New Roman" w:hAnsi="Times New Roman" w:cs="Times New Roman"/>
          <w:sz w:val="32"/>
          <w:szCs w:val="32"/>
          <w:highlight w:val="none"/>
        </w:rPr>
        <w:t>总体情况</w:t>
      </w:r>
    </w:p>
    <w:p w14:paraId="448B22DA">
      <w:pPr>
        <w:pageBreakBefore w:val="0"/>
        <w:kinsoku/>
        <w:wordWrap/>
        <w:overflowPunct/>
        <w:topLinePunct w:val="0"/>
        <w:bidi w:val="0"/>
        <w:snapToGrid/>
        <w:spacing w:line="576" w:lineRule="exact"/>
        <w:ind w:firstLine="640"/>
        <w:textAlignment w:val="auto"/>
        <w:rPr>
          <w:rFonts w:hint="default" w:ascii="Times New Roman" w:hAnsi="Times New Roman" w:eastAsia="仿宋_GB2312"/>
          <w:color w:val="auto"/>
          <w:kern w:val="2"/>
          <w:sz w:val="32"/>
          <w:szCs w:val="22"/>
          <w:highlight w:val="none"/>
        </w:rPr>
      </w:pPr>
      <w:r>
        <w:rPr>
          <w:rFonts w:hint="default" w:ascii="Times New Roman" w:hAnsi="Times New Roman" w:eastAsia="仿宋_GB2312"/>
          <w:color w:val="auto"/>
          <w:kern w:val="2"/>
          <w:sz w:val="32"/>
          <w:szCs w:val="22"/>
          <w:highlight w:val="none"/>
        </w:rPr>
        <w:t>202</w:t>
      </w:r>
      <w:r>
        <w:rPr>
          <w:rFonts w:hint="eastAsia"/>
          <w:color w:val="auto"/>
          <w:kern w:val="2"/>
          <w:sz w:val="32"/>
          <w:szCs w:val="22"/>
          <w:highlight w:val="none"/>
          <w:lang w:val="en-US" w:eastAsia="zh-CN"/>
        </w:rPr>
        <w:t>4</w:t>
      </w:r>
      <w:r>
        <w:rPr>
          <w:rFonts w:ascii="Times New Roman" w:hAnsi="Times New Roman" w:eastAsia="仿宋_GB2312"/>
          <w:color w:val="auto"/>
          <w:kern w:val="2"/>
          <w:sz w:val="32"/>
          <w:szCs w:val="22"/>
          <w:highlight w:val="none"/>
        </w:rPr>
        <w:t>年度，</w:t>
      </w:r>
      <w:r>
        <w:rPr>
          <w:rFonts w:ascii="Times New Roman" w:hAnsi="Times New Roman" w:eastAsia="仿宋_GB2312"/>
          <w:color w:val="auto"/>
          <w:kern w:val="2"/>
          <w:sz w:val="32"/>
          <w:szCs w:val="32"/>
          <w:highlight w:val="none"/>
          <w:u w:val="none"/>
        </w:rPr>
        <w:t>我区水利发展资金数量指标为</w:t>
      </w:r>
      <w:r>
        <w:rPr>
          <w:rFonts w:ascii="Times New Roman" w:hAnsi="Times New Roman" w:eastAsia="仿宋_GB2312"/>
          <w:color w:val="auto"/>
          <w:kern w:val="2"/>
          <w:sz w:val="32"/>
          <w:szCs w:val="22"/>
          <w:highlight w:val="none"/>
        </w:rPr>
        <w:t>：</w:t>
      </w:r>
      <w:r>
        <w:rPr>
          <w:rFonts w:hint="eastAsia" w:ascii="Times New Roman" w:hAnsi="Times New Roman" w:eastAsia="仿宋_GB2312"/>
          <w:color w:val="auto"/>
          <w:kern w:val="2"/>
          <w:sz w:val="32"/>
          <w:szCs w:val="22"/>
          <w:highlight w:val="none"/>
        </w:rPr>
        <w:t>小型水库白蚁等害堤动物日常检查座数15座、堤防白蚁等害堤动物日常检查长度141.13公里。</w:t>
      </w:r>
    </w:p>
    <w:p w14:paraId="0440E389">
      <w:pPr>
        <w:pageBreakBefore w:val="0"/>
        <w:kinsoku/>
        <w:wordWrap/>
        <w:overflowPunct/>
        <w:topLinePunct w:val="0"/>
        <w:bidi w:val="0"/>
        <w:snapToGrid/>
        <w:spacing w:line="576" w:lineRule="exact"/>
        <w:ind w:firstLine="640"/>
        <w:textAlignment w:val="auto"/>
        <w:rPr>
          <w:rFonts w:hint="default" w:ascii="Times New Roman" w:hAnsi="Times New Roman" w:eastAsia="仿宋_GB2312"/>
          <w:color w:val="auto"/>
          <w:kern w:val="2"/>
          <w:sz w:val="32"/>
          <w:highlight w:val="none"/>
        </w:rPr>
      </w:pPr>
      <w:r>
        <w:rPr>
          <w:rFonts w:ascii="Times New Roman" w:hAnsi="Times New Roman" w:eastAsia="仿宋_GB2312"/>
          <w:sz w:val="32"/>
          <w:highlight w:val="none"/>
        </w:rPr>
        <w:t>截至202</w:t>
      </w:r>
      <w:r>
        <w:rPr>
          <w:rFonts w:hint="eastAsia" w:ascii="Times New Roman" w:hAnsi="Times New Roman" w:eastAsia="仿宋_GB2312"/>
          <w:sz w:val="32"/>
          <w:highlight w:val="none"/>
          <w:lang w:val="en-US" w:eastAsia="zh-CN"/>
        </w:rPr>
        <w:t>5</w:t>
      </w:r>
      <w:r>
        <w:rPr>
          <w:rFonts w:ascii="Times New Roman" w:hAnsi="Times New Roman" w:eastAsia="仿宋_GB2312"/>
          <w:sz w:val="32"/>
          <w:highlight w:val="none"/>
        </w:rPr>
        <w:t>年6月底，</w:t>
      </w:r>
      <w:r>
        <w:rPr>
          <w:rFonts w:hint="eastAsia" w:ascii="Times New Roman" w:hAnsi="Times New Roman" w:eastAsia="仿宋_GB2312"/>
          <w:sz w:val="32"/>
          <w:highlight w:val="none"/>
        </w:rPr>
        <w:t>数量指标</w:t>
      </w:r>
      <w:r>
        <w:rPr>
          <w:rFonts w:hint="eastAsia" w:ascii="Times New Roman" w:hAnsi="Times New Roman" w:eastAsia="仿宋_GB2312" w:cs="Times New Roman"/>
          <w:sz w:val="32"/>
          <w:highlight w:val="none"/>
          <w:lang w:val="en-US" w:eastAsia="zh-CN"/>
        </w:rPr>
        <w:t>完成情况为：小型水库白蚁等害堤动物日常检查座数15座、堤防白蚁等害堤动物日常检查长度141.13公里，</w:t>
      </w:r>
      <w:r>
        <w:rPr>
          <w:rFonts w:ascii="Times New Roman" w:hAnsi="Times New Roman" w:eastAsia="仿宋_GB2312"/>
          <w:color w:val="auto"/>
          <w:kern w:val="2"/>
          <w:sz w:val="32"/>
          <w:highlight w:val="none"/>
          <w:u w:val="none"/>
        </w:rPr>
        <w:t>有</w:t>
      </w:r>
      <w:r>
        <w:rPr>
          <w:rFonts w:ascii="Times New Roman" w:hAnsi="Times New Roman" w:eastAsia="仿宋_GB2312"/>
          <w:color w:val="auto"/>
          <w:kern w:val="2"/>
          <w:sz w:val="32"/>
          <w:highlight w:val="none"/>
        </w:rPr>
        <w:t>达到年度目标值。</w:t>
      </w:r>
    </w:p>
    <w:p w14:paraId="111EB46D">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outlineLvl w:val="3"/>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w:t>
      </w:r>
      <w:r>
        <w:rPr>
          <w:rFonts w:hint="eastAsia" w:cs="Times New Roman"/>
          <w:sz w:val="32"/>
          <w:szCs w:val="32"/>
          <w:highlight w:val="none"/>
          <w:lang w:val="en-US" w:eastAsia="zh-CN"/>
        </w:rPr>
        <w:t>2</w:t>
      </w:r>
      <w:r>
        <w:rPr>
          <w:rFonts w:hint="default" w:ascii="Times New Roman" w:hAnsi="Times New Roman" w:cs="Times New Roman"/>
          <w:sz w:val="32"/>
          <w:szCs w:val="32"/>
          <w:highlight w:val="none"/>
        </w:rPr>
        <w:t>）白蚁防治</w:t>
      </w:r>
    </w:p>
    <w:p w14:paraId="31C4B638">
      <w:pPr>
        <w:pStyle w:val="2"/>
        <w:keepNext w:val="0"/>
        <w:keepLines w:val="0"/>
        <w:pageBreakBefore w:val="0"/>
        <w:widowControl/>
        <w:kinsoku/>
        <w:wordWrap/>
        <w:overflowPunct/>
        <w:topLinePunct w:val="0"/>
        <w:autoSpaceDE/>
        <w:autoSpaceDN/>
        <w:bidi w:val="0"/>
        <w:adjustRightInd/>
        <w:snapToGrid/>
        <w:spacing w:after="0" w:line="576" w:lineRule="exact"/>
        <w:textAlignment w:val="auto"/>
        <w:rPr>
          <w:rFonts w:hint="default" w:ascii="Times New Roman" w:hAnsi="Times New Roman" w:cs="Times New Roman"/>
          <w:sz w:val="32"/>
          <w:szCs w:val="32"/>
          <w:highlight w:val="none"/>
          <w:lang w:val="en-US"/>
        </w:rPr>
      </w:pPr>
      <w:r>
        <w:rPr>
          <w:rFonts w:hint="default" w:ascii="Times New Roman" w:hAnsi="Times New Roman" w:eastAsia="仿宋_GB2312"/>
          <w:color w:val="auto"/>
          <w:kern w:val="2"/>
          <w:sz w:val="32"/>
          <w:szCs w:val="22"/>
          <w:highlight w:val="none"/>
        </w:rPr>
        <w:t>202</w:t>
      </w:r>
      <w:r>
        <w:rPr>
          <w:rFonts w:hint="eastAsia"/>
          <w:color w:val="auto"/>
          <w:kern w:val="2"/>
          <w:sz w:val="32"/>
          <w:szCs w:val="22"/>
          <w:highlight w:val="none"/>
          <w:lang w:val="en-US" w:eastAsia="zh-CN"/>
        </w:rPr>
        <w:t>4</w:t>
      </w:r>
      <w:r>
        <w:rPr>
          <w:rFonts w:ascii="Times New Roman" w:hAnsi="Times New Roman" w:eastAsia="仿宋_GB2312"/>
          <w:color w:val="auto"/>
          <w:kern w:val="2"/>
          <w:sz w:val="32"/>
          <w:szCs w:val="22"/>
          <w:highlight w:val="none"/>
        </w:rPr>
        <w:t>年度，</w:t>
      </w:r>
      <w:r>
        <w:rPr>
          <w:rFonts w:ascii="Times New Roman" w:hAnsi="Times New Roman" w:eastAsia="仿宋_GB2312"/>
          <w:color w:val="auto"/>
          <w:kern w:val="2"/>
          <w:sz w:val="32"/>
          <w:szCs w:val="32"/>
          <w:highlight w:val="none"/>
          <w:u w:val="none"/>
        </w:rPr>
        <w:t>我区水利发展资金</w:t>
      </w:r>
      <w:r>
        <w:rPr>
          <w:rFonts w:hint="default" w:ascii="Times New Roman" w:hAnsi="Times New Roman" w:cs="Times New Roman"/>
          <w:sz w:val="32"/>
          <w:szCs w:val="32"/>
          <w:highlight w:val="none"/>
        </w:rPr>
        <w:t>白蚁防治</w:t>
      </w:r>
      <w:r>
        <w:rPr>
          <w:rFonts w:hint="eastAsia" w:ascii="Times New Roman" w:hAnsi="Times New Roman"/>
          <w:color w:val="auto"/>
          <w:kern w:val="2"/>
          <w:sz w:val="32"/>
          <w:szCs w:val="32"/>
          <w:highlight w:val="none"/>
          <w:u w:val="none"/>
          <w:lang w:val="en-US" w:eastAsia="zh-CN"/>
        </w:rPr>
        <w:t>方向的</w:t>
      </w:r>
      <w:r>
        <w:rPr>
          <w:rFonts w:ascii="Times New Roman" w:hAnsi="Times New Roman" w:eastAsia="仿宋_GB2312"/>
          <w:color w:val="auto"/>
          <w:kern w:val="2"/>
          <w:sz w:val="32"/>
          <w:szCs w:val="32"/>
          <w:highlight w:val="none"/>
          <w:u w:val="none"/>
        </w:rPr>
        <w:t>数量指标为：</w:t>
      </w:r>
      <w:r>
        <w:rPr>
          <w:rFonts w:hint="eastAsia" w:ascii="Times New Roman" w:hAnsi="Times New Roman" w:cs="Times New Roman"/>
          <w:sz w:val="32"/>
          <w:szCs w:val="32"/>
          <w:highlight w:val="none"/>
        </w:rPr>
        <w:t>小型水库白蚁等害堤动物日常检查座数15座、堤防白蚁等害堤动物日常检查长度141.13公里。</w:t>
      </w:r>
    </w:p>
    <w:p w14:paraId="2C727684">
      <w:pPr>
        <w:pStyle w:val="2"/>
        <w:keepNext w:val="0"/>
        <w:keepLines w:val="0"/>
        <w:pageBreakBefore w:val="0"/>
        <w:widowControl/>
        <w:kinsoku/>
        <w:wordWrap/>
        <w:overflowPunct/>
        <w:topLinePunct w:val="0"/>
        <w:autoSpaceDE/>
        <w:autoSpaceDN/>
        <w:bidi w:val="0"/>
        <w:adjustRightInd/>
        <w:snapToGrid/>
        <w:spacing w:after="0" w:line="576" w:lineRule="exact"/>
        <w:textAlignment w:val="auto"/>
        <w:rPr>
          <w:rFonts w:hint="default" w:ascii="Times New Roman" w:hAnsi="Times New Roman" w:cs="Times New Roman"/>
          <w:sz w:val="32"/>
          <w:szCs w:val="32"/>
          <w:highlight w:val="none"/>
          <w:lang w:val="en-US"/>
        </w:rPr>
      </w:pPr>
      <w:r>
        <w:rPr>
          <w:rFonts w:ascii="Times New Roman" w:hAnsi="Times New Roman" w:eastAsia="仿宋_GB2312"/>
          <w:sz w:val="32"/>
          <w:highlight w:val="none"/>
        </w:rPr>
        <w:t>截至202</w:t>
      </w:r>
      <w:r>
        <w:rPr>
          <w:rFonts w:hint="eastAsia"/>
          <w:sz w:val="32"/>
          <w:highlight w:val="none"/>
          <w:lang w:val="en-US" w:eastAsia="zh-CN"/>
        </w:rPr>
        <w:t>5</w:t>
      </w:r>
      <w:r>
        <w:rPr>
          <w:rFonts w:ascii="Times New Roman" w:hAnsi="Times New Roman" w:eastAsia="仿宋_GB2312"/>
          <w:sz w:val="32"/>
          <w:highlight w:val="none"/>
        </w:rPr>
        <w:t>年6月底，</w:t>
      </w:r>
      <w:r>
        <w:rPr>
          <w:rFonts w:hint="default" w:ascii="Times New Roman" w:hAnsi="Times New Roman" w:cs="Times New Roman"/>
          <w:sz w:val="32"/>
          <w:szCs w:val="32"/>
          <w:highlight w:val="none"/>
        </w:rPr>
        <w:t>白蚁防治</w:t>
      </w:r>
      <w:r>
        <w:rPr>
          <w:rFonts w:hint="eastAsia" w:ascii="Times New Roman" w:hAnsi="Times New Roman" w:eastAsia="仿宋_GB2312"/>
          <w:sz w:val="32"/>
          <w:highlight w:val="none"/>
        </w:rPr>
        <w:t>方向的数量指标</w:t>
      </w:r>
      <w:r>
        <w:rPr>
          <w:rFonts w:hint="eastAsia" w:ascii="Times New Roman" w:hAnsi="Times New Roman"/>
          <w:sz w:val="32"/>
          <w:highlight w:val="none"/>
          <w:lang w:val="en-US" w:eastAsia="zh-CN"/>
        </w:rPr>
        <w:t>完成情况为：</w:t>
      </w:r>
      <w:r>
        <w:rPr>
          <w:rFonts w:hint="eastAsia" w:ascii="Times New Roman" w:hAnsi="Times New Roman" w:cs="Times New Roman"/>
          <w:sz w:val="32"/>
          <w:szCs w:val="32"/>
          <w:highlight w:val="none"/>
          <w:lang w:val="en-US" w:eastAsia="zh-CN"/>
        </w:rPr>
        <w:t>小型水库白蚁等害堤动物日常检查座数15座、堤防白蚁等害堤动物日常检查长度141.13公里。</w:t>
      </w:r>
    </w:p>
    <w:p w14:paraId="165E52B7">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2.项目质量指标</w:t>
      </w:r>
    </w:p>
    <w:p w14:paraId="494F4EBE">
      <w:pPr>
        <w:keepNext w:val="0"/>
        <w:keepLines w:val="0"/>
        <w:pageBreakBefore w:val="0"/>
        <w:widowControl w:val="0"/>
        <w:kinsoku/>
        <w:wordWrap/>
        <w:overflowPunct/>
        <w:topLinePunct w:val="0"/>
        <w:autoSpaceDE w:val="0"/>
        <w:autoSpaceDN w:val="0"/>
        <w:bidi w:val="0"/>
        <w:adjustRightInd w:val="0"/>
        <w:snapToGrid/>
        <w:spacing w:after="200" w:line="576" w:lineRule="exact"/>
        <w:ind w:firstLine="640" w:firstLineChars="200"/>
        <w:jc w:val="both"/>
        <w:textAlignment w:val="auto"/>
        <w:rPr>
          <w:rFonts w:hint="default" w:ascii="Times New Roman" w:hAnsi="Times New Roman" w:eastAsia="仿宋_GB2312" w:cs="Times New Roman"/>
          <w:color w:val="auto"/>
          <w:kern w:val="2"/>
          <w:sz w:val="32"/>
          <w:szCs w:val="22"/>
          <w:highlight w:val="none"/>
          <w:lang w:val="en-US" w:eastAsia="zh-CN" w:bidi="ar-SA"/>
        </w:rPr>
      </w:pPr>
      <w:r>
        <w:rPr>
          <w:rFonts w:hint="eastAsia" w:ascii="Times New Roman" w:hAnsi="Times New Roman" w:eastAsia="仿宋_GB2312" w:cs="Times New Roman"/>
          <w:color w:val="000000"/>
          <w:kern w:val="0"/>
          <w:sz w:val="32"/>
          <w:szCs w:val="22"/>
          <w:highlight w:val="none"/>
          <w:lang w:val="en-US" w:eastAsia="zh-CN" w:bidi="ar-SA"/>
        </w:rPr>
        <w:t>根据工程项目完工验收资料显示，截至202</w:t>
      </w:r>
      <w:r>
        <w:rPr>
          <w:rFonts w:hint="eastAsia" w:cs="Times New Roman"/>
          <w:color w:val="000000"/>
          <w:sz w:val="32"/>
          <w:szCs w:val="22"/>
          <w:highlight w:val="none"/>
          <w:lang w:val="en-US" w:eastAsia="zh-CN" w:bidi="ar-SA"/>
        </w:rPr>
        <w:t>5</w:t>
      </w:r>
      <w:r>
        <w:rPr>
          <w:rFonts w:hint="eastAsia" w:ascii="Times New Roman" w:hAnsi="Times New Roman" w:eastAsia="仿宋_GB2312" w:cs="Times New Roman"/>
          <w:color w:val="000000"/>
          <w:kern w:val="0"/>
          <w:sz w:val="32"/>
          <w:szCs w:val="22"/>
          <w:highlight w:val="none"/>
          <w:lang w:val="en-US" w:eastAsia="zh-CN" w:bidi="ar-SA"/>
        </w:rPr>
        <w:t>年6月底，项目初步验收率为100%，工程验收合格率为100%，已建工程未发现工程质量问题。</w:t>
      </w:r>
    </w:p>
    <w:p w14:paraId="5434E8B8">
      <w:pPr>
        <w:keepNext w:val="0"/>
        <w:keepLines w:val="0"/>
        <w:pageBreakBefore w:val="0"/>
        <w:widowControl w:val="0"/>
        <w:kinsoku w:val="0"/>
        <w:wordWrap/>
        <w:overflowPunct w:val="0"/>
        <w:topLinePunct w:val="0"/>
        <w:autoSpaceDE w:val="0"/>
        <w:autoSpaceDN w:val="0"/>
        <w:bidi w:val="0"/>
        <w:adjustRightInd/>
        <w:snapToGrid/>
        <w:spacing w:line="576" w:lineRule="exact"/>
        <w:ind w:firstLine="640"/>
        <w:textAlignment w:val="auto"/>
        <w:outlineLvl w:val="2"/>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3.项目时效指标</w:t>
      </w:r>
    </w:p>
    <w:p w14:paraId="4272A38E">
      <w:pPr>
        <w:keepNext w:val="0"/>
        <w:keepLines w:val="0"/>
        <w:pageBreakBefore w:val="0"/>
        <w:widowControl w:val="0"/>
        <w:kinsoku w:val="0"/>
        <w:wordWrap/>
        <w:overflowPunct w:val="0"/>
        <w:topLinePunct w:val="0"/>
        <w:autoSpaceDE w:val="0"/>
        <w:autoSpaceDN w:val="0"/>
        <w:bidi w:val="0"/>
        <w:adjustRightInd/>
        <w:snapToGrid/>
        <w:spacing w:line="576" w:lineRule="exact"/>
        <w:ind w:firstLine="640"/>
        <w:textAlignment w:val="auto"/>
        <w:outlineLvl w:val="2"/>
        <w:rPr>
          <w:rFonts w:hint="default" w:ascii="Times New Roman" w:hAnsi="Times New Roman" w:eastAsia="仿宋_GB2312" w:cs="Times New Roman"/>
          <w:color w:val="auto"/>
          <w:kern w:val="2"/>
          <w:sz w:val="32"/>
          <w:szCs w:val="22"/>
          <w:highlight w:val="none"/>
          <w:lang w:val="en-US" w:eastAsia="zh-CN" w:bidi="ar-SA"/>
        </w:rPr>
      </w:pPr>
      <w:r>
        <w:rPr>
          <w:rFonts w:hint="default" w:ascii="Times New Roman" w:hAnsi="Times New Roman" w:eastAsia="仿宋_GB2312"/>
          <w:color w:val="auto"/>
          <w:kern w:val="2"/>
          <w:sz w:val="32"/>
          <w:szCs w:val="22"/>
          <w:highlight w:val="none"/>
        </w:rPr>
        <w:t>202</w:t>
      </w:r>
      <w:r>
        <w:rPr>
          <w:rFonts w:hint="eastAsia"/>
          <w:color w:val="auto"/>
          <w:kern w:val="2"/>
          <w:sz w:val="32"/>
          <w:szCs w:val="22"/>
          <w:highlight w:val="none"/>
          <w:lang w:val="en-US" w:eastAsia="zh-CN"/>
        </w:rPr>
        <w:t>4</w:t>
      </w:r>
      <w:r>
        <w:rPr>
          <w:rFonts w:ascii="Times New Roman" w:hAnsi="Times New Roman" w:eastAsia="仿宋_GB2312"/>
          <w:color w:val="auto"/>
          <w:kern w:val="2"/>
          <w:sz w:val="32"/>
          <w:szCs w:val="22"/>
          <w:highlight w:val="none"/>
        </w:rPr>
        <w:t>年度，</w:t>
      </w:r>
      <w:r>
        <w:rPr>
          <w:rFonts w:hint="default" w:ascii="Times New Roman" w:hAnsi="Times New Roman"/>
          <w:sz w:val="32"/>
          <w:szCs w:val="32"/>
          <w:highlight w:val="none"/>
          <w:u w:val="none"/>
        </w:rPr>
        <w:t>我区</w:t>
      </w:r>
      <w:r>
        <w:rPr>
          <w:rFonts w:ascii="Times New Roman" w:hAnsi="Times New Roman" w:eastAsia="仿宋_GB2312"/>
          <w:color w:val="auto"/>
          <w:kern w:val="2"/>
          <w:sz w:val="32"/>
          <w:szCs w:val="32"/>
          <w:highlight w:val="none"/>
          <w:u w:val="none"/>
        </w:rPr>
        <w:t>水利发展资金</w:t>
      </w:r>
      <w:r>
        <w:rPr>
          <w:rFonts w:hint="eastAsia" w:ascii="Times New Roman" w:hAnsi="Times New Roman" w:eastAsia="仿宋_GB2312"/>
          <w:color w:val="auto"/>
          <w:kern w:val="2"/>
          <w:sz w:val="32"/>
          <w:szCs w:val="32"/>
          <w:highlight w:val="none"/>
          <w:u w:val="none"/>
          <w:lang w:val="en-US" w:eastAsia="zh-CN"/>
        </w:rPr>
        <w:t>项目总数为1</w:t>
      </w:r>
      <w:r>
        <w:rPr>
          <w:rFonts w:hint="default" w:ascii="Times New Roman" w:hAnsi="Times New Roman" w:eastAsia="仿宋_GB2312"/>
          <w:color w:val="auto"/>
          <w:kern w:val="2"/>
          <w:sz w:val="32"/>
          <w:szCs w:val="32"/>
          <w:highlight w:val="none"/>
          <w:u w:val="none"/>
          <w:lang w:val="en-US" w:eastAsia="zh-CN"/>
        </w:rPr>
        <w:t>个</w:t>
      </w:r>
      <w:r>
        <w:rPr>
          <w:rFonts w:hint="eastAsia" w:ascii="Times New Roman" w:hAnsi="Times New Roman" w:eastAsia="仿宋_GB2312"/>
          <w:color w:val="auto"/>
          <w:kern w:val="2"/>
          <w:sz w:val="32"/>
          <w:szCs w:val="32"/>
          <w:highlight w:val="none"/>
          <w:u w:val="none"/>
          <w:lang w:eastAsia="zh-CN"/>
        </w:rPr>
        <w:t>，</w:t>
      </w:r>
      <w:r>
        <w:rPr>
          <w:rFonts w:hint="eastAsia" w:ascii="Times New Roman" w:hAnsi="Times New Roman" w:eastAsia="仿宋_GB2312" w:cs="Times New Roman"/>
          <w:color w:val="auto"/>
          <w:kern w:val="2"/>
          <w:sz w:val="32"/>
          <w:szCs w:val="22"/>
          <w:highlight w:val="none"/>
          <w:lang w:val="en-US" w:eastAsia="zh-CN" w:bidi="ar-SA"/>
        </w:rPr>
        <w:t>截至202</w:t>
      </w:r>
      <w:r>
        <w:rPr>
          <w:rFonts w:hint="eastAsia" w:cs="Times New Roman"/>
          <w:color w:val="auto"/>
          <w:kern w:val="2"/>
          <w:sz w:val="32"/>
          <w:szCs w:val="22"/>
          <w:highlight w:val="none"/>
          <w:lang w:val="en-US" w:eastAsia="zh-CN" w:bidi="ar-SA"/>
        </w:rPr>
        <w:t>5</w:t>
      </w:r>
      <w:r>
        <w:rPr>
          <w:rFonts w:hint="eastAsia" w:ascii="Times New Roman" w:hAnsi="Times New Roman" w:eastAsia="仿宋_GB2312" w:cs="Times New Roman"/>
          <w:color w:val="auto"/>
          <w:kern w:val="2"/>
          <w:sz w:val="32"/>
          <w:szCs w:val="22"/>
          <w:highlight w:val="none"/>
          <w:lang w:val="en-US" w:eastAsia="zh-CN" w:bidi="ar-SA"/>
        </w:rPr>
        <w:t>年6月底，项目开工</w:t>
      </w:r>
      <w:r>
        <w:rPr>
          <w:rFonts w:hint="eastAsia" w:ascii="Times New Roman" w:hAnsi="Times New Roman" w:eastAsia="仿宋_GB2312"/>
          <w:color w:val="auto"/>
          <w:kern w:val="2"/>
          <w:sz w:val="32"/>
          <w:szCs w:val="32"/>
          <w:highlight w:val="none"/>
          <w:u w:val="none"/>
          <w:lang w:val="en-US" w:eastAsia="zh-CN"/>
        </w:rPr>
        <w:t>1</w:t>
      </w:r>
      <w:r>
        <w:rPr>
          <w:rFonts w:hint="default" w:ascii="Times New Roman" w:hAnsi="Times New Roman" w:eastAsia="仿宋_GB2312"/>
          <w:color w:val="auto"/>
          <w:kern w:val="2"/>
          <w:sz w:val="32"/>
          <w:szCs w:val="32"/>
          <w:highlight w:val="none"/>
          <w:u w:val="none"/>
          <w:lang w:val="en-US" w:eastAsia="zh-CN"/>
        </w:rPr>
        <w:t>个</w:t>
      </w:r>
      <w:r>
        <w:rPr>
          <w:rFonts w:hint="eastAsia" w:ascii="Times New Roman" w:hAnsi="Times New Roman" w:eastAsia="仿宋_GB2312" w:cs="Times New Roman"/>
          <w:color w:val="auto"/>
          <w:kern w:val="2"/>
          <w:sz w:val="32"/>
          <w:szCs w:val="22"/>
          <w:highlight w:val="none"/>
          <w:lang w:val="en-US" w:eastAsia="zh-CN" w:bidi="ar-SA"/>
        </w:rPr>
        <w:t>、完工</w:t>
      </w:r>
      <w:r>
        <w:rPr>
          <w:rFonts w:hint="eastAsia" w:ascii="Times New Roman" w:hAnsi="Times New Roman" w:eastAsia="仿宋_GB2312"/>
          <w:color w:val="auto"/>
          <w:kern w:val="2"/>
          <w:sz w:val="32"/>
          <w:szCs w:val="32"/>
          <w:highlight w:val="none"/>
          <w:u w:val="none"/>
          <w:lang w:val="en-US" w:eastAsia="zh-CN"/>
        </w:rPr>
        <w:t>1</w:t>
      </w:r>
      <w:r>
        <w:rPr>
          <w:rFonts w:hint="default" w:ascii="Times New Roman" w:hAnsi="Times New Roman" w:eastAsia="仿宋_GB2312" w:cs="Times New Roman"/>
          <w:color w:val="000000"/>
          <w:sz w:val="32"/>
          <w:szCs w:val="22"/>
          <w:highlight w:val="none"/>
          <w:lang w:val="en-US" w:eastAsia="zh-CN" w:bidi="ar-SA"/>
        </w:rPr>
        <w:t>个</w:t>
      </w:r>
      <w:r>
        <w:rPr>
          <w:rFonts w:hint="eastAsia" w:ascii="Times New Roman" w:hAnsi="Times New Roman" w:eastAsia="仿宋_GB2312" w:cs="Times New Roman"/>
          <w:color w:val="000000"/>
          <w:sz w:val="32"/>
          <w:szCs w:val="22"/>
          <w:highlight w:val="none"/>
          <w:lang w:val="en-US" w:eastAsia="zh-CN" w:bidi="ar-SA"/>
        </w:rPr>
        <w:t>、</w:t>
      </w:r>
      <w:r>
        <w:rPr>
          <w:rFonts w:hint="eastAsia" w:ascii="Times New Roman" w:hAnsi="Times New Roman" w:eastAsia="仿宋_GB2312" w:cs="Times New Roman"/>
          <w:color w:val="auto"/>
          <w:kern w:val="2"/>
          <w:sz w:val="32"/>
          <w:szCs w:val="22"/>
          <w:highlight w:val="none"/>
          <w:lang w:val="en-US" w:eastAsia="zh-CN" w:bidi="ar-SA"/>
        </w:rPr>
        <w:t>验收1</w:t>
      </w:r>
      <w:r>
        <w:rPr>
          <w:rFonts w:hint="default" w:ascii="Times New Roman" w:hAnsi="Times New Roman" w:eastAsia="仿宋_GB2312" w:cs="Times New Roman"/>
          <w:color w:val="000000"/>
          <w:sz w:val="32"/>
          <w:szCs w:val="22"/>
          <w:highlight w:val="none"/>
          <w:lang w:val="en-US" w:eastAsia="zh-CN" w:bidi="ar-SA"/>
        </w:rPr>
        <w:t>个</w:t>
      </w:r>
      <w:r>
        <w:rPr>
          <w:rFonts w:hint="eastAsia" w:ascii="Times New Roman" w:hAnsi="Times New Roman" w:eastAsia="仿宋_GB2312" w:cs="Times New Roman"/>
          <w:color w:val="000000"/>
          <w:sz w:val="32"/>
          <w:szCs w:val="22"/>
          <w:highlight w:val="none"/>
          <w:lang w:val="en-US" w:eastAsia="zh-CN" w:bidi="ar-SA"/>
        </w:rPr>
        <w:t>、验收合格1</w:t>
      </w:r>
      <w:r>
        <w:rPr>
          <w:rFonts w:hint="default" w:ascii="Times New Roman" w:hAnsi="Times New Roman" w:eastAsia="仿宋_GB2312" w:cs="Times New Roman"/>
          <w:color w:val="000000"/>
          <w:sz w:val="32"/>
          <w:szCs w:val="22"/>
          <w:highlight w:val="none"/>
          <w:lang w:val="en-US" w:eastAsia="zh-CN" w:bidi="ar-SA"/>
        </w:rPr>
        <w:t>个</w:t>
      </w:r>
      <w:r>
        <w:rPr>
          <w:rFonts w:hint="eastAsia" w:ascii="Times New Roman" w:hAnsi="Times New Roman" w:eastAsia="仿宋_GB2312" w:cs="Times New Roman"/>
          <w:color w:val="000000"/>
          <w:sz w:val="32"/>
          <w:szCs w:val="22"/>
          <w:highlight w:val="none"/>
          <w:lang w:val="en-US" w:eastAsia="zh-CN" w:bidi="ar-SA"/>
        </w:rPr>
        <w:t>，完工率100%、验收率</w:t>
      </w:r>
      <w:r>
        <w:rPr>
          <w:rFonts w:hint="eastAsia" w:ascii="Times New Roman" w:hAnsi="Times New Roman" w:eastAsia="仿宋_GB2312"/>
          <w:color w:val="auto"/>
          <w:kern w:val="2"/>
          <w:sz w:val="32"/>
          <w:szCs w:val="32"/>
          <w:highlight w:val="none"/>
          <w:u w:val="none"/>
          <w:lang w:val="en-US" w:eastAsia="zh-CN"/>
        </w:rPr>
        <w:t>100%。</w:t>
      </w:r>
    </w:p>
    <w:p w14:paraId="1DAD6F69">
      <w:pPr>
        <w:pageBreakBefore w:val="0"/>
        <w:kinsoku/>
        <w:wordWrap/>
        <w:overflowPunct/>
        <w:topLinePunct w:val="0"/>
        <w:autoSpaceDE/>
        <w:autoSpaceDN/>
        <w:bidi w:val="0"/>
        <w:adjustRightInd/>
        <w:snapToGrid/>
        <w:spacing w:line="576"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cs="Times New Roman"/>
          <w:highlight w:val="none"/>
        </w:rPr>
        <w:t>表</w:t>
      </w:r>
      <w:r>
        <w:rPr>
          <w:rFonts w:hint="eastAsia" w:cs="Times New Roman"/>
          <w:highlight w:val="none"/>
          <w:lang w:val="en-US" w:eastAsia="zh-CN"/>
        </w:rPr>
        <w:t>5</w:t>
      </w:r>
      <w:r>
        <w:rPr>
          <w:rFonts w:hint="default" w:ascii="Times New Roman" w:hAnsi="Times New Roman" w:cs="Times New Roman"/>
          <w:highlight w:val="none"/>
        </w:rPr>
        <w:t xml:space="preserve">  202</w:t>
      </w:r>
      <w:r>
        <w:rPr>
          <w:rFonts w:hint="eastAsia" w:cs="Times New Roman"/>
          <w:highlight w:val="none"/>
          <w:lang w:val="en-US" w:eastAsia="zh-CN"/>
        </w:rPr>
        <w:t>4</w:t>
      </w:r>
      <w:r>
        <w:rPr>
          <w:rFonts w:hint="default" w:ascii="Times New Roman" w:hAnsi="Times New Roman" w:cs="Times New Roman"/>
          <w:highlight w:val="none"/>
        </w:rPr>
        <w:t>年度水利发展资金项目实施情况表</w:t>
      </w:r>
    </w:p>
    <w:tbl>
      <w:tblPr>
        <w:tblStyle w:val="13"/>
        <w:tblW w:w="8562" w:type="dxa"/>
        <w:tblInd w:w="-154" w:type="dxa"/>
        <w:tblLayout w:type="fixed"/>
        <w:tblCellMar>
          <w:top w:w="0" w:type="dxa"/>
          <w:left w:w="51" w:type="dxa"/>
          <w:bottom w:w="0" w:type="dxa"/>
          <w:right w:w="51" w:type="dxa"/>
        </w:tblCellMar>
      </w:tblPr>
      <w:tblGrid>
        <w:gridCol w:w="1348"/>
        <w:gridCol w:w="750"/>
        <w:gridCol w:w="945"/>
        <w:gridCol w:w="840"/>
        <w:gridCol w:w="855"/>
        <w:gridCol w:w="945"/>
        <w:gridCol w:w="1485"/>
        <w:gridCol w:w="1394"/>
      </w:tblGrid>
      <w:tr w14:paraId="50A1D54F">
        <w:tblPrEx>
          <w:tblCellMar>
            <w:top w:w="0" w:type="dxa"/>
            <w:left w:w="51" w:type="dxa"/>
            <w:bottom w:w="0" w:type="dxa"/>
            <w:right w:w="51" w:type="dxa"/>
          </w:tblCellMar>
        </w:tblPrEx>
        <w:trPr>
          <w:trHeight w:val="436" w:hRule="atLeast"/>
        </w:trPr>
        <w:tc>
          <w:tcPr>
            <w:tcW w:w="134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32A4EB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0" w:firstLineChars="0"/>
              <w:jc w:val="center"/>
              <w:textAlignment w:val="auto"/>
              <w:rPr>
                <w:rFonts w:hint="default" w:ascii="Times New Roman" w:hAnsi="Times New Roman" w:cs="Times New Roman"/>
                <w:color w:val="000000"/>
                <w:kern w:val="0"/>
                <w:sz w:val="18"/>
                <w:szCs w:val="18"/>
                <w:highlight w:val="none"/>
              </w:rPr>
            </w:pPr>
            <w:r>
              <w:rPr>
                <w:rFonts w:hint="eastAsia" w:ascii="仿宋_GB2312" w:hAnsi="宋体"/>
                <w:kern w:val="0"/>
                <w:sz w:val="18"/>
                <w:szCs w:val="18"/>
                <w:highlight w:val="none"/>
                <w:lang w:val="en-US" w:eastAsia="zh-CN"/>
              </w:rPr>
              <w:t>分类</w:t>
            </w:r>
          </w:p>
        </w:tc>
        <w:tc>
          <w:tcPr>
            <w:tcW w:w="4335" w:type="dxa"/>
            <w:gridSpan w:val="5"/>
            <w:tcBorders>
              <w:top w:val="single" w:color="auto" w:sz="4" w:space="0"/>
              <w:left w:val="nil"/>
              <w:bottom w:val="single" w:color="auto" w:sz="4" w:space="0"/>
              <w:right w:val="single" w:color="auto" w:sz="4" w:space="0"/>
            </w:tcBorders>
            <w:shd w:val="clear" w:color="auto" w:fill="auto"/>
            <w:vAlign w:val="center"/>
          </w:tcPr>
          <w:p w14:paraId="51D0CC32">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center"/>
              <w:textAlignment w:val="auto"/>
              <w:rPr>
                <w:rFonts w:hint="default" w:ascii="Times New Roman" w:hAnsi="Times New Roman" w:cs="Times New Roman"/>
                <w:color w:val="000000"/>
                <w:kern w:val="0"/>
                <w:sz w:val="18"/>
                <w:szCs w:val="18"/>
                <w:highlight w:val="none"/>
              </w:rPr>
            </w:pPr>
            <w:r>
              <w:rPr>
                <w:rFonts w:hint="default" w:ascii="Times New Roman" w:hAnsi="Times New Roman" w:cs="Times New Roman"/>
                <w:color w:val="000000"/>
                <w:kern w:val="0"/>
                <w:sz w:val="18"/>
                <w:szCs w:val="18"/>
                <w:highlight w:val="none"/>
              </w:rPr>
              <w:t>实施项目数（个）</w:t>
            </w:r>
          </w:p>
        </w:tc>
        <w:tc>
          <w:tcPr>
            <w:tcW w:w="1485"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1C8722E6">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both"/>
              <w:textAlignment w:val="auto"/>
              <w:rPr>
                <w:rFonts w:hint="default" w:ascii="Times New Roman" w:hAnsi="Times New Roman" w:cs="Times New Roman"/>
                <w:color w:val="000000"/>
                <w:kern w:val="0"/>
                <w:sz w:val="18"/>
                <w:szCs w:val="18"/>
                <w:highlight w:val="none"/>
              </w:rPr>
            </w:pPr>
            <w:r>
              <w:rPr>
                <w:rFonts w:hint="default" w:ascii="Times New Roman" w:hAnsi="Times New Roman" w:cs="Times New Roman"/>
                <w:color w:val="000000"/>
                <w:kern w:val="0"/>
                <w:sz w:val="18"/>
                <w:szCs w:val="18"/>
                <w:highlight w:val="none"/>
              </w:rPr>
              <w:t>项目完工率（%）</w:t>
            </w:r>
          </w:p>
        </w:tc>
        <w:tc>
          <w:tcPr>
            <w:tcW w:w="139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14:paraId="26271C40">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both"/>
              <w:textAlignment w:val="auto"/>
              <w:rPr>
                <w:rFonts w:hint="default" w:ascii="Times New Roman" w:hAnsi="Times New Roman" w:cs="Times New Roman"/>
                <w:color w:val="000000"/>
                <w:kern w:val="0"/>
                <w:sz w:val="18"/>
                <w:szCs w:val="18"/>
                <w:highlight w:val="none"/>
              </w:rPr>
            </w:pPr>
            <w:r>
              <w:rPr>
                <w:rFonts w:hint="default" w:ascii="Times New Roman" w:hAnsi="Times New Roman" w:cs="Times New Roman"/>
                <w:color w:val="000000"/>
                <w:kern w:val="0"/>
                <w:sz w:val="18"/>
                <w:szCs w:val="18"/>
                <w:highlight w:val="none"/>
              </w:rPr>
              <w:t>项目验收率（%）</w:t>
            </w:r>
          </w:p>
        </w:tc>
      </w:tr>
      <w:tr w14:paraId="6E20696D">
        <w:tblPrEx>
          <w:tblCellMar>
            <w:top w:w="0" w:type="dxa"/>
            <w:left w:w="51" w:type="dxa"/>
            <w:bottom w:w="0" w:type="dxa"/>
            <w:right w:w="51" w:type="dxa"/>
          </w:tblCellMar>
        </w:tblPrEx>
        <w:trPr>
          <w:trHeight w:val="20" w:hRule="atLeast"/>
        </w:trPr>
        <w:tc>
          <w:tcPr>
            <w:tcW w:w="1348" w:type="dxa"/>
            <w:vMerge w:val="continue"/>
            <w:tcBorders>
              <w:top w:val="single" w:color="auto" w:sz="4" w:space="0"/>
              <w:left w:val="single" w:color="auto" w:sz="4" w:space="0"/>
              <w:bottom w:val="single" w:color="auto" w:sz="4" w:space="0"/>
              <w:right w:val="single" w:color="auto" w:sz="4" w:space="0"/>
            </w:tcBorders>
            <w:vAlign w:val="center"/>
          </w:tcPr>
          <w:p w14:paraId="7A377B99">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center"/>
              <w:textAlignment w:val="auto"/>
              <w:rPr>
                <w:rFonts w:hint="default" w:ascii="Times New Roman" w:hAnsi="Times New Roman" w:cs="Times New Roman"/>
                <w:color w:val="000000"/>
                <w:kern w:val="0"/>
                <w:sz w:val="18"/>
                <w:szCs w:val="18"/>
                <w:highlight w:val="none"/>
              </w:rPr>
            </w:pPr>
          </w:p>
        </w:tc>
        <w:tc>
          <w:tcPr>
            <w:tcW w:w="750" w:type="dxa"/>
            <w:tcBorders>
              <w:top w:val="nil"/>
              <w:left w:val="nil"/>
              <w:bottom w:val="single" w:color="auto" w:sz="4" w:space="0"/>
              <w:right w:val="single" w:color="auto" w:sz="4" w:space="0"/>
            </w:tcBorders>
            <w:shd w:val="clear" w:color="auto" w:fill="auto"/>
            <w:vAlign w:val="center"/>
          </w:tcPr>
          <w:p w14:paraId="4FAF97B6">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center"/>
              <w:textAlignment w:val="auto"/>
              <w:rPr>
                <w:rFonts w:hint="default" w:ascii="Times New Roman" w:hAnsi="Times New Roman" w:cs="Times New Roman"/>
                <w:color w:val="000000"/>
                <w:kern w:val="0"/>
                <w:sz w:val="18"/>
                <w:szCs w:val="18"/>
                <w:highlight w:val="none"/>
              </w:rPr>
            </w:pPr>
            <w:r>
              <w:rPr>
                <w:rFonts w:hint="default" w:ascii="Times New Roman" w:hAnsi="Times New Roman" w:cs="Times New Roman"/>
                <w:color w:val="000000"/>
                <w:kern w:val="0"/>
                <w:sz w:val="18"/>
                <w:szCs w:val="18"/>
                <w:highlight w:val="none"/>
              </w:rPr>
              <w:t>总数</w:t>
            </w:r>
          </w:p>
        </w:tc>
        <w:tc>
          <w:tcPr>
            <w:tcW w:w="945" w:type="dxa"/>
            <w:tcBorders>
              <w:top w:val="nil"/>
              <w:left w:val="nil"/>
              <w:bottom w:val="single" w:color="auto" w:sz="4" w:space="0"/>
              <w:right w:val="single" w:color="auto" w:sz="4" w:space="0"/>
            </w:tcBorders>
            <w:shd w:val="clear" w:color="auto" w:fill="auto"/>
            <w:vAlign w:val="center"/>
          </w:tcPr>
          <w:p w14:paraId="0CE47B8E">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both"/>
              <w:textAlignment w:val="auto"/>
              <w:rPr>
                <w:rFonts w:hint="default" w:ascii="Times New Roman" w:hAnsi="Times New Roman" w:cs="Times New Roman"/>
                <w:color w:val="000000"/>
                <w:kern w:val="0"/>
                <w:sz w:val="18"/>
                <w:szCs w:val="18"/>
                <w:highlight w:val="none"/>
              </w:rPr>
            </w:pPr>
            <w:r>
              <w:rPr>
                <w:rFonts w:hint="default" w:ascii="Times New Roman" w:hAnsi="Times New Roman" w:cs="Times New Roman"/>
                <w:color w:val="000000"/>
                <w:kern w:val="0"/>
                <w:sz w:val="18"/>
                <w:szCs w:val="18"/>
                <w:highlight w:val="none"/>
              </w:rPr>
              <w:t>项目开工</w:t>
            </w:r>
          </w:p>
        </w:tc>
        <w:tc>
          <w:tcPr>
            <w:tcW w:w="840" w:type="dxa"/>
            <w:tcBorders>
              <w:top w:val="nil"/>
              <w:left w:val="nil"/>
              <w:bottom w:val="single" w:color="auto" w:sz="4" w:space="0"/>
              <w:right w:val="single" w:color="auto" w:sz="4" w:space="0"/>
            </w:tcBorders>
            <w:shd w:val="clear" w:color="auto" w:fill="auto"/>
            <w:vAlign w:val="center"/>
          </w:tcPr>
          <w:p w14:paraId="4AB01C37">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both"/>
              <w:textAlignment w:val="auto"/>
              <w:rPr>
                <w:rFonts w:hint="default" w:ascii="Times New Roman" w:hAnsi="Times New Roman" w:cs="Times New Roman"/>
                <w:color w:val="000000"/>
                <w:kern w:val="0"/>
                <w:sz w:val="18"/>
                <w:szCs w:val="18"/>
                <w:highlight w:val="none"/>
              </w:rPr>
            </w:pPr>
            <w:r>
              <w:rPr>
                <w:rFonts w:hint="default" w:ascii="Times New Roman" w:hAnsi="Times New Roman" w:cs="Times New Roman"/>
                <w:color w:val="000000"/>
                <w:kern w:val="0"/>
                <w:sz w:val="18"/>
                <w:szCs w:val="18"/>
                <w:highlight w:val="none"/>
              </w:rPr>
              <w:t>项目完工</w:t>
            </w:r>
          </w:p>
        </w:tc>
        <w:tc>
          <w:tcPr>
            <w:tcW w:w="855" w:type="dxa"/>
            <w:tcBorders>
              <w:top w:val="nil"/>
              <w:left w:val="nil"/>
              <w:bottom w:val="single" w:color="auto" w:sz="4" w:space="0"/>
              <w:right w:val="single" w:color="auto" w:sz="4" w:space="0"/>
            </w:tcBorders>
            <w:shd w:val="clear" w:color="auto" w:fill="auto"/>
            <w:vAlign w:val="center"/>
          </w:tcPr>
          <w:p w14:paraId="70CD76BB">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both"/>
              <w:textAlignment w:val="auto"/>
              <w:rPr>
                <w:rFonts w:hint="default" w:ascii="Times New Roman" w:hAnsi="Times New Roman" w:cs="Times New Roman"/>
                <w:color w:val="000000"/>
                <w:kern w:val="0"/>
                <w:sz w:val="18"/>
                <w:szCs w:val="18"/>
                <w:highlight w:val="none"/>
              </w:rPr>
            </w:pPr>
            <w:r>
              <w:rPr>
                <w:rFonts w:hint="default" w:ascii="Times New Roman" w:hAnsi="Times New Roman" w:cs="Times New Roman"/>
                <w:color w:val="000000"/>
                <w:kern w:val="0"/>
                <w:sz w:val="18"/>
                <w:szCs w:val="18"/>
                <w:highlight w:val="none"/>
              </w:rPr>
              <w:t>完工验收</w:t>
            </w:r>
          </w:p>
        </w:tc>
        <w:tc>
          <w:tcPr>
            <w:tcW w:w="945" w:type="dxa"/>
            <w:tcBorders>
              <w:top w:val="nil"/>
              <w:left w:val="nil"/>
              <w:bottom w:val="single" w:color="auto" w:sz="4" w:space="0"/>
              <w:right w:val="single" w:color="auto" w:sz="4" w:space="0"/>
            </w:tcBorders>
            <w:shd w:val="clear" w:color="auto" w:fill="auto"/>
            <w:vAlign w:val="center"/>
          </w:tcPr>
          <w:p w14:paraId="5E010A77">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both"/>
              <w:textAlignment w:val="auto"/>
              <w:rPr>
                <w:rFonts w:hint="default" w:ascii="Times New Roman" w:hAnsi="Times New Roman" w:cs="Times New Roman"/>
                <w:color w:val="000000"/>
                <w:kern w:val="0"/>
                <w:sz w:val="18"/>
                <w:szCs w:val="18"/>
                <w:highlight w:val="none"/>
              </w:rPr>
            </w:pPr>
            <w:r>
              <w:rPr>
                <w:rFonts w:hint="default" w:ascii="Times New Roman" w:hAnsi="Times New Roman" w:cs="Times New Roman"/>
                <w:color w:val="000000"/>
                <w:kern w:val="0"/>
                <w:sz w:val="18"/>
                <w:szCs w:val="18"/>
                <w:highlight w:val="none"/>
              </w:rPr>
              <w:t>验收合格</w:t>
            </w:r>
          </w:p>
        </w:tc>
        <w:tc>
          <w:tcPr>
            <w:tcW w:w="1485" w:type="dxa"/>
            <w:vMerge w:val="continue"/>
            <w:tcBorders>
              <w:top w:val="single" w:color="auto" w:sz="4" w:space="0"/>
              <w:left w:val="single" w:color="auto" w:sz="4" w:space="0"/>
              <w:bottom w:val="single" w:color="000000" w:sz="4" w:space="0"/>
              <w:right w:val="single" w:color="auto" w:sz="4" w:space="0"/>
            </w:tcBorders>
            <w:vAlign w:val="center"/>
          </w:tcPr>
          <w:p w14:paraId="37291E1E">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center"/>
              <w:textAlignment w:val="auto"/>
              <w:rPr>
                <w:rFonts w:hint="default" w:ascii="Times New Roman" w:hAnsi="Times New Roman" w:cs="Times New Roman"/>
                <w:color w:val="000000"/>
                <w:kern w:val="0"/>
                <w:sz w:val="18"/>
                <w:szCs w:val="18"/>
                <w:highlight w:val="none"/>
              </w:rPr>
            </w:pPr>
          </w:p>
        </w:tc>
        <w:tc>
          <w:tcPr>
            <w:tcW w:w="1394" w:type="dxa"/>
            <w:vMerge w:val="continue"/>
            <w:tcBorders>
              <w:top w:val="single" w:color="auto" w:sz="4" w:space="0"/>
              <w:left w:val="single" w:color="auto" w:sz="4" w:space="0"/>
              <w:bottom w:val="single" w:color="000000" w:sz="4" w:space="0"/>
              <w:right w:val="single" w:color="auto" w:sz="4" w:space="0"/>
            </w:tcBorders>
            <w:vAlign w:val="center"/>
          </w:tcPr>
          <w:p w14:paraId="05B9EB31">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center"/>
              <w:textAlignment w:val="auto"/>
              <w:rPr>
                <w:rFonts w:hint="default" w:ascii="Times New Roman" w:hAnsi="Times New Roman" w:cs="Times New Roman"/>
                <w:color w:val="000000"/>
                <w:kern w:val="0"/>
                <w:sz w:val="18"/>
                <w:szCs w:val="18"/>
                <w:highlight w:val="none"/>
              </w:rPr>
            </w:pPr>
          </w:p>
        </w:tc>
      </w:tr>
      <w:tr w14:paraId="5FC9D2CC">
        <w:tblPrEx>
          <w:tblCellMar>
            <w:top w:w="0" w:type="dxa"/>
            <w:left w:w="51" w:type="dxa"/>
            <w:bottom w:w="0" w:type="dxa"/>
            <w:right w:w="51" w:type="dxa"/>
          </w:tblCellMar>
        </w:tblPrEx>
        <w:tc>
          <w:tcPr>
            <w:tcW w:w="1348" w:type="dxa"/>
            <w:tcBorders>
              <w:top w:val="single" w:color="auto" w:sz="4" w:space="0"/>
              <w:left w:val="single" w:color="auto" w:sz="4" w:space="0"/>
              <w:bottom w:val="single" w:color="auto" w:sz="4" w:space="0"/>
              <w:right w:val="single" w:color="auto" w:sz="4" w:space="0"/>
            </w:tcBorders>
          </w:tcPr>
          <w:p w14:paraId="55A79CCB">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jc w:val="center"/>
              <w:textAlignment w:val="auto"/>
              <w:rPr>
                <w:rFonts w:hint="default"/>
              </w:rPr>
            </w:pPr>
            <w:r>
              <w:rPr>
                <w:rFonts w:hint="default" w:ascii="仿宋_GB2312" w:hAnsi="仿宋_GB2312" w:eastAsia="仿宋_GB2312" w:cs="仿宋_GB2312"/>
                <w:sz w:val="18"/>
              </w:rPr>
              <w:t>白蚁防治</w:t>
            </w:r>
          </w:p>
        </w:tc>
        <w:tc>
          <w:tcPr>
            <w:tcW w:w="750" w:type="dxa"/>
            <w:tcBorders>
              <w:top w:val="single" w:color="auto" w:sz="4" w:space="0"/>
              <w:left w:val="single" w:color="auto" w:sz="4" w:space="0"/>
              <w:bottom w:val="single" w:color="auto" w:sz="4" w:space="0"/>
              <w:right w:val="single" w:color="auto" w:sz="4" w:space="0"/>
            </w:tcBorders>
            <w:vAlign w:val="center"/>
          </w:tcPr>
          <w:p w14:paraId="665642D0">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jc w:val="both"/>
              <w:textAlignment w:val="auto"/>
              <w:rPr>
                <w:rFonts w:hint="default"/>
                <w:sz w:val="21"/>
                <w:szCs w:val="21"/>
              </w:rPr>
            </w:pPr>
            <w:r>
              <w:rPr>
                <w:rFonts w:hint="default" w:ascii="仿宋_GB2312" w:hAnsi="仿宋_GB2312" w:eastAsia="仿宋_GB2312" w:cs="仿宋_GB2312"/>
                <w:sz w:val="21"/>
                <w:szCs w:val="21"/>
              </w:rPr>
              <w:t>1</w:t>
            </w:r>
          </w:p>
        </w:tc>
        <w:tc>
          <w:tcPr>
            <w:tcW w:w="945" w:type="dxa"/>
            <w:tcBorders>
              <w:top w:val="single" w:color="auto" w:sz="4" w:space="0"/>
              <w:left w:val="single" w:color="auto" w:sz="4" w:space="0"/>
              <w:bottom w:val="single" w:color="auto" w:sz="4" w:space="0"/>
              <w:right w:val="single" w:color="auto" w:sz="4" w:space="0"/>
            </w:tcBorders>
            <w:vAlign w:val="center"/>
          </w:tcPr>
          <w:p w14:paraId="3B2AB852">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jc w:val="both"/>
              <w:textAlignment w:val="auto"/>
              <w:rPr>
                <w:rFonts w:hint="default"/>
                <w:sz w:val="21"/>
                <w:szCs w:val="21"/>
              </w:rPr>
            </w:pPr>
            <w:r>
              <w:rPr>
                <w:rFonts w:hint="default" w:ascii="仿宋_GB2312" w:hAnsi="仿宋_GB2312" w:eastAsia="仿宋_GB2312" w:cs="仿宋_GB2312"/>
                <w:sz w:val="21"/>
                <w:szCs w:val="21"/>
              </w:rPr>
              <w:t>1</w:t>
            </w:r>
          </w:p>
        </w:tc>
        <w:tc>
          <w:tcPr>
            <w:tcW w:w="840" w:type="dxa"/>
            <w:tcBorders>
              <w:top w:val="single" w:color="auto" w:sz="4" w:space="0"/>
              <w:left w:val="single" w:color="auto" w:sz="4" w:space="0"/>
              <w:bottom w:val="single" w:color="auto" w:sz="4" w:space="0"/>
              <w:right w:val="single" w:color="auto" w:sz="4" w:space="0"/>
            </w:tcBorders>
            <w:vAlign w:val="center"/>
          </w:tcPr>
          <w:p w14:paraId="0D7C719C">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jc w:val="both"/>
              <w:textAlignment w:val="auto"/>
              <w:rPr>
                <w:rFonts w:hint="default"/>
                <w:sz w:val="21"/>
                <w:szCs w:val="21"/>
              </w:rPr>
            </w:pPr>
            <w:r>
              <w:rPr>
                <w:rFonts w:hint="default" w:ascii="仿宋_GB2312" w:hAnsi="仿宋_GB2312" w:eastAsia="仿宋_GB2312" w:cs="仿宋_GB2312"/>
                <w:sz w:val="21"/>
                <w:szCs w:val="21"/>
              </w:rPr>
              <w:t>1</w:t>
            </w:r>
          </w:p>
        </w:tc>
        <w:tc>
          <w:tcPr>
            <w:tcW w:w="855" w:type="dxa"/>
            <w:tcBorders>
              <w:top w:val="single" w:color="auto" w:sz="4" w:space="0"/>
              <w:left w:val="single" w:color="auto" w:sz="4" w:space="0"/>
              <w:bottom w:val="single" w:color="auto" w:sz="4" w:space="0"/>
              <w:right w:val="single" w:color="auto" w:sz="4" w:space="0"/>
            </w:tcBorders>
            <w:vAlign w:val="center"/>
          </w:tcPr>
          <w:p w14:paraId="590DE8E4">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jc w:val="both"/>
              <w:textAlignment w:val="auto"/>
              <w:rPr>
                <w:rFonts w:hint="default"/>
                <w:sz w:val="21"/>
                <w:szCs w:val="21"/>
              </w:rPr>
            </w:pPr>
            <w:r>
              <w:rPr>
                <w:rFonts w:hint="default" w:ascii="仿宋_GB2312" w:hAnsi="仿宋_GB2312" w:eastAsia="仿宋_GB2312" w:cs="仿宋_GB2312"/>
                <w:sz w:val="21"/>
                <w:szCs w:val="21"/>
              </w:rPr>
              <w:t>1</w:t>
            </w:r>
          </w:p>
        </w:tc>
        <w:tc>
          <w:tcPr>
            <w:tcW w:w="945" w:type="dxa"/>
            <w:tcBorders>
              <w:top w:val="single" w:color="auto" w:sz="4" w:space="0"/>
              <w:left w:val="single" w:color="auto" w:sz="4" w:space="0"/>
              <w:bottom w:val="single" w:color="auto" w:sz="4" w:space="0"/>
              <w:right w:val="single" w:color="auto" w:sz="4" w:space="0"/>
            </w:tcBorders>
            <w:vAlign w:val="center"/>
          </w:tcPr>
          <w:p w14:paraId="1F154750">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jc w:val="both"/>
              <w:textAlignment w:val="auto"/>
              <w:rPr>
                <w:rFonts w:hint="default"/>
                <w:sz w:val="21"/>
                <w:szCs w:val="21"/>
              </w:rPr>
            </w:pPr>
            <w:r>
              <w:rPr>
                <w:rFonts w:hint="default" w:ascii="仿宋_GB2312" w:hAnsi="仿宋_GB2312" w:eastAsia="仿宋_GB2312" w:cs="仿宋_GB2312"/>
                <w:sz w:val="21"/>
                <w:szCs w:val="21"/>
              </w:rPr>
              <w:t>1</w:t>
            </w:r>
          </w:p>
        </w:tc>
        <w:tc>
          <w:tcPr>
            <w:tcW w:w="1485" w:type="dxa"/>
            <w:tcBorders>
              <w:top w:val="single" w:color="auto" w:sz="4" w:space="0"/>
              <w:left w:val="single" w:color="auto" w:sz="4" w:space="0"/>
              <w:bottom w:val="single" w:color="auto" w:sz="4" w:space="0"/>
              <w:right w:val="single" w:color="auto" w:sz="4" w:space="0"/>
            </w:tcBorders>
            <w:vAlign w:val="center"/>
          </w:tcPr>
          <w:p w14:paraId="0FEFDB1A">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leftChars="0" w:right="0" w:firstLine="0" w:firstLineChars="0"/>
              <w:jc w:val="center"/>
              <w:textAlignment w:val="auto"/>
              <w:rPr>
                <w:rFonts w:hint="default"/>
                <w:sz w:val="21"/>
                <w:szCs w:val="21"/>
              </w:rPr>
            </w:pPr>
            <w:r>
              <w:rPr>
                <w:rFonts w:hint="default" w:ascii="仿宋_GB2312" w:hAnsi="仿宋_GB2312" w:eastAsia="仿宋_GB2312" w:cs="仿宋_GB2312"/>
                <w:sz w:val="21"/>
                <w:szCs w:val="21"/>
              </w:rPr>
              <w:t>100%</w:t>
            </w:r>
          </w:p>
        </w:tc>
        <w:tc>
          <w:tcPr>
            <w:tcW w:w="1394" w:type="dxa"/>
            <w:tcBorders>
              <w:top w:val="single" w:color="auto" w:sz="4" w:space="0"/>
              <w:left w:val="single" w:color="auto" w:sz="4" w:space="0"/>
              <w:bottom w:val="single" w:color="auto" w:sz="4" w:space="0"/>
              <w:right w:val="single" w:color="auto" w:sz="4" w:space="0"/>
            </w:tcBorders>
            <w:vAlign w:val="center"/>
          </w:tcPr>
          <w:p w14:paraId="12AB6CCF">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leftChars="0" w:right="0" w:firstLine="0" w:firstLineChars="0"/>
              <w:jc w:val="center"/>
              <w:textAlignment w:val="auto"/>
              <w:rPr>
                <w:rFonts w:hint="default"/>
                <w:sz w:val="21"/>
                <w:szCs w:val="21"/>
              </w:rPr>
            </w:pPr>
            <w:r>
              <w:rPr>
                <w:rFonts w:hint="default" w:ascii="仿宋_GB2312" w:hAnsi="仿宋_GB2312" w:eastAsia="仿宋_GB2312" w:cs="仿宋_GB2312"/>
                <w:sz w:val="21"/>
                <w:szCs w:val="21"/>
              </w:rPr>
              <w:t>100%</w:t>
            </w:r>
          </w:p>
        </w:tc>
      </w:tr>
    </w:tbl>
    <w:p w14:paraId="30C3DCE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4.项目成本指标</w:t>
      </w:r>
    </w:p>
    <w:p w14:paraId="41F07EB3">
      <w:pPr>
        <w:pStyle w:val="32"/>
        <w:pageBreakBefore w:val="0"/>
        <w:kinsoku/>
        <w:wordWrap/>
        <w:overflowPunct/>
        <w:topLinePunct w:val="0"/>
        <w:bidi w:val="0"/>
        <w:snapToGrid/>
        <w:spacing w:line="576" w:lineRule="exact"/>
        <w:ind w:firstLine="640" w:firstLineChars="200"/>
        <w:jc w:val="both"/>
        <w:textAlignment w:val="auto"/>
        <w:rPr>
          <w:rFonts w:hint="default" w:ascii="Times New Roman" w:hAnsi="Times New Roman" w:eastAsia="仿宋_GB2312"/>
          <w:color w:val="auto"/>
          <w:kern w:val="2"/>
          <w:sz w:val="32"/>
          <w:highlight w:val="none"/>
          <w:u w:val="none"/>
        </w:rPr>
      </w:pPr>
      <w:r>
        <w:rPr>
          <w:rFonts w:hint="default" w:ascii="Times New Roman" w:hAnsi="Times New Roman" w:eastAsia="仿宋_GB2312"/>
          <w:color w:val="auto"/>
          <w:kern w:val="2"/>
          <w:sz w:val="32"/>
          <w:highlight w:val="none"/>
          <w:u w:val="none"/>
        </w:rPr>
        <w:t>202</w:t>
      </w:r>
      <w:r>
        <w:rPr>
          <w:rFonts w:hint="eastAsia" w:ascii="Times New Roman" w:hAnsi="Times New Roman" w:eastAsia="仿宋_GB2312"/>
          <w:color w:val="auto"/>
          <w:kern w:val="2"/>
          <w:sz w:val="32"/>
          <w:highlight w:val="none"/>
          <w:u w:val="none"/>
          <w:lang w:val="en-US" w:eastAsia="zh-CN"/>
        </w:rPr>
        <w:t>4</w:t>
      </w:r>
      <w:r>
        <w:rPr>
          <w:rFonts w:ascii="Times New Roman" w:hAnsi="Times New Roman" w:eastAsia="仿宋_GB2312"/>
          <w:color w:val="auto"/>
          <w:kern w:val="2"/>
          <w:sz w:val="32"/>
          <w:highlight w:val="none"/>
          <w:u w:val="none"/>
        </w:rPr>
        <w:t>年度，</w:t>
      </w:r>
      <w:r>
        <w:rPr>
          <w:rFonts w:hint="eastAsia" w:ascii="Times New Roman" w:hAnsi="Times New Roman" w:eastAsia="仿宋_GB2312"/>
          <w:color w:val="auto"/>
          <w:kern w:val="2"/>
          <w:sz w:val="32"/>
          <w:highlight w:val="none"/>
          <w:u w:val="none"/>
        </w:rPr>
        <w:t>我区</w:t>
      </w:r>
      <w:r>
        <w:rPr>
          <w:rFonts w:ascii="Times New Roman" w:hAnsi="Times New Roman" w:eastAsia="仿宋_GB2312"/>
          <w:color w:val="auto"/>
          <w:kern w:val="2"/>
          <w:sz w:val="32"/>
          <w:szCs w:val="32"/>
          <w:highlight w:val="none"/>
          <w:u w:val="none"/>
        </w:rPr>
        <w:t>水利发展资金</w:t>
      </w:r>
      <w:r>
        <w:rPr>
          <w:rFonts w:hint="eastAsia" w:ascii="Times New Roman" w:hAnsi="Times New Roman" w:eastAsia="仿宋_GB2312"/>
          <w:color w:val="auto"/>
          <w:kern w:val="2"/>
          <w:sz w:val="32"/>
          <w:szCs w:val="32"/>
          <w:highlight w:val="none"/>
          <w:u w:val="none"/>
          <w:lang w:val="en-US" w:eastAsia="zh-CN"/>
        </w:rPr>
        <w:t>项目总数为1</w:t>
      </w:r>
      <w:r>
        <w:rPr>
          <w:rFonts w:hint="default" w:ascii="Times New Roman" w:hAnsi="Times New Roman" w:eastAsia="仿宋_GB2312"/>
          <w:color w:val="auto"/>
          <w:kern w:val="2"/>
          <w:sz w:val="32"/>
          <w:szCs w:val="32"/>
          <w:highlight w:val="none"/>
          <w:u w:val="none"/>
          <w:lang w:val="en-US" w:eastAsia="zh-CN"/>
        </w:rPr>
        <w:t>个</w:t>
      </w:r>
      <w:r>
        <w:rPr>
          <w:rFonts w:hint="eastAsia" w:ascii="Times New Roman" w:hAnsi="Times New Roman" w:eastAsia="仿宋_GB2312"/>
          <w:color w:val="auto"/>
          <w:kern w:val="2"/>
          <w:sz w:val="32"/>
          <w:szCs w:val="32"/>
          <w:highlight w:val="none"/>
          <w:u w:val="none"/>
          <w:lang w:eastAsia="zh-CN"/>
        </w:rPr>
        <w:t>，</w:t>
      </w:r>
      <w:r>
        <w:rPr>
          <w:rFonts w:hint="eastAsia" w:ascii="Times New Roman" w:hAnsi="Times New Roman" w:eastAsia="仿宋_GB2312"/>
          <w:color w:val="auto"/>
          <w:kern w:val="2"/>
          <w:sz w:val="32"/>
          <w:highlight w:val="none"/>
          <w:u w:val="none"/>
        </w:rPr>
        <w:t>经财政评审、招投标结余的实际总投资与批复总投资偏离情况</w:t>
      </w:r>
      <w:r>
        <w:rPr>
          <w:rFonts w:hint="eastAsia" w:ascii="Times New Roman" w:hAnsi="Times New Roman" w:eastAsia="仿宋_GB2312"/>
          <w:color w:val="auto"/>
          <w:kern w:val="2"/>
          <w:sz w:val="32"/>
          <w:highlight w:val="none"/>
          <w:u w:val="none"/>
          <w:lang w:val="en-US" w:eastAsia="zh-CN"/>
        </w:rPr>
        <w:t>为：项目能控制在批复概算单价内，实际执行按照合同支付。</w:t>
      </w:r>
    </w:p>
    <w:p w14:paraId="6724444B">
      <w:pPr>
        <w:pStyle w:val="4"/>
        <w:pageBreakBefore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楷体_GB2312" w:cs="Times New Roman"/>
          <w:b/>
          <w:bCs w:val="0"/>
          <w:sz w:val="32"/>
          <w:highlight w:val="none"/>
        </w:rPr>
      </w:pPr>
      <w:r>
        <w:rPr>
          <w:rFonts w:hint="default" w:ascii="Times New Roman" w:hAnsi="Times New Roman" w:eastAsia="楷体_GB2312" w:cs="Times New Roman"/>
          <w:b/>
          <w:bCs w:val="0"/>
          <w:sz w:val="32"/>
          <w:highlight w:val="none"/>
        </w:rPr>
        <w:t>（</w:t>
      </w:r>
      <w:r>
        <w:rPr>
          <w:rFonts w:hint="eastAsia" w:eastAsia="楷体_GB2312" w:cs="Times New Roman"/>
          <w:b/>
          <w:bCs w:val="0"/>
          <w:sz w:val="32"/>
          <w:highlight w:val="none"/>
          <w:lang w:val="en-US" w:eastAsia="zh-CN"/>
        </w:rPr>
        <w:t>五</w:t>
      </w:r>
      <w:r>
        <w:rPr>
          <w:rFonts w:hint="default" w:ascii="Times New Roman" w:hAnsi="Times New Roman" w:eastAsia="楷体_GB2312" w:cs="Times New Roman"/>
          <w:b/>
          <w:bCs w:val="0"/>
          <w:sz w:val="32"/>
          <w:highlight w:val="none"/>
        </w:rPr>
        <w:t>）效益指标完成情况分析</w:t>
      </w:r>
    </w:p>
    <w:p w14:paraId="6C156C04">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default" w:ascii="Times New Roman" w:hAnsi="Times New Roman" w:cs="Times New Roman"/>
          <w:b/>
          <w:bCs/>
          <w:sz w:val="32"/>
          <w:szCs w:val="32"/>
          <w:highlight w:val="none"/>
        </w:rPr>
      </w:pPr>
      <w:r>
        <w:rPr>
          <w:rFonts w:hint="default" w:ascii="Times New Roman" w:hAnsi="Times New Roman" w:cs="Times New Roman"/>
          <w:b/>
          <w:bCs/>
          <w:sz w:val="32"/>
          <w:szCs w:val="32"/>
          <w:highlight w:val="none"/>
        </w:rPr>
        <w:t>1.总体情况</w:t>
      </w:r>
    </w:p>
    <w:p w14:paraId="78DAFC52">
      <w:pPr>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项目实施的可持续影响分析</w:t>
      </w:r>
    </w:p>
    <w:p w14:paraId="01139512">
      <w:pPr>
        <w:pageBreakBefore w:val="0"/>
        <w:kinsoku/>
        <w:wordWrap/>
        <w:overflowPunct/>
        <w:topLinePunct w:val="0"/>
        <w:bidi w:val="0"/>
        <w:snapToGrid/>
        <w:spacing w:line="576" w:lineRule="exact"/>
        <w:ind w:firstLine="640"/>
        <w:textAlignment w:val="auto"/>
        <w:rPr>
          <w:sz w:val="32"/>
          <w:szCs w:val="32"/>
          <w:highlight w:val="none"/>
        </w:rPr>
      </w:pPr>
      <w:r>
        <w:rPr>
          <w:rFonts w:hint="eastAsia" w:cs="Times New Roman"/>
          <w:sz w:val="32"/>
          <w:highlight w:val="none"/>
        </w:rPr>
        <w:t>截至202</w:t>
      </w:r>
      <w:r>
        <w:rPr>
          <w:rFonts w:hint="eastAsia" w:cs="Times New Roman"/>
          <w:sz w:val="32"/>
          <w:highlight w:val="none"/>
          <w:lang w:val="en-US" w:eastAsia="zh-CN"/>
        </w:rPr>
        <w:t>5</w:t>
      </w:r>
      <w:r>
        <w:rPr>
          <w:rFonts w:hint="eastAsia" w:cs="Times New Roman"/>
          <w:sz w:val="32"/>
          <w:highlight w:val="none"/>
        </w:rPr>
        <w:t>年6月底，</w:t>
      </w:r>
      <w:r>
        <w:rPr>
          <w:rFonts w:hint="eastAsia" w:cs="Times New Roman"/>
          <w:sz w:val="32"/>
          <w:highlight w:val="none"/>
          <w:lang w:val="en-US" w:eastAsia="zh-CN"/>
        </w:rPr>
        <w:t>已建工程良性运行，工程能达到设计使用年限</w:t>
      </w:r>
      <w:r>
        <w:rPr>
          <w:rFonts w:hint="eastAsia" w:cs="Times New Roman"/>
          <w:sz w:val="32"/>
          <w:highlight w:val="none"/>
        </w:rPr>
        <w:t>。</w:t>
      </w:r>
    </w:p>
    <w:p w14:paraId="5F38948A">
      <w:pPr>
        <w:keepNext w:val="0"/>
        <w:keepLines w:val="0"/>
        <w:pageBreakBefore w:val="0"/>
        <w:widowControl w:val="0"/>
        <w:kinsoku/>
        <w:wordWrap/>
        <w:overflowPunct/>
        <w:topLinePunct w:val="0"/>
        <w:autoSpaceDE/>
        <w:autoSpaceDN/>
        <w:bidi w:val="0"/>
        <w:adjustRightInd/>
        <w:snapToGrid/>
        <w:spacing w:line="576" w:lineRule="exact"/>
        <w:ind w:firstLine="640"/>
        <w:textAlignment w:val="auto"/>
        <w:outlineLvl w:val="2"/>
        <w:rPr>
          <w:rFonts w:hint="default" w:ascii="Times New Roman" w:hAnsi="Times New Roman" w:cs="Times New Roman"/>
          <w:b/>
          <w:bCs/>
          <w:sz w:val="32"/>
          <w:szCs w:val="32"/>
          <w:highlight w:val="none"/>
        </w:rPr>
      </w:pPr>
      <w:r>
        <w:rPr>
          <w:rFonts w:hint="eastAsia" w:cs="Times New Roman"/>
          <w:b/>
          <w:bCs/>
          <w:sz w:val="32"/>
          <w:szCs w:val="32"/>
          <w:highlight w:val="none"/>
          <w:lang w:val="en-US" w:eastAsia="zh-CN"/>
        </w:rPr>
        <w:t>2</w:t>
      </w:r>
      <w:r>
        <w:rPr>
          <w:rFonts w:hint="default" w:ascii="Times New Roman" w:hAnsi="Times New Roman" w:cs="Times New Roman"/>
          <w:b/>
          <w:bCs/>
          <w:sz w:val="32"/>
          <w:szCs w:val="32"/>
          <w:highlight w:val="none"/>
        </w:rPr>
        <w:t>.</w:t>
      </w:r>
      <w:r>
        <w:rPr>
          <w:rFonts w:hint="eastAsia" w:cs="Times New Roman"/>
          <w:b/>
          <w:bCs/>
          <w:sz w:val="32"/>
          <w:szCs w:val="32"/>
          <w:highlight w:val="none"/>
          <w:lang w:val="en-US" w:eastAsia="zh-CN"/>
        </w:rPr>
        <w:t>白蚁防治</w:t>
      </w:r>
    </w:p>
    <w:p w14:paraId="6AF769B1">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（1）项目实施的经济效益分析</w:t>
      </w:r>
    </w:p>
    <w:p w14:paraId="7C12BF33">
      <w:pPr>
        <w:keepNext w:val="0"/>
        <w:keepLines w:val="0"/>
        <w:pageBreakBefore w:val="0"/>
        <w:kinsoku/>
        <w:wordWrap/>
        <w:overflowPunct/>
        <w:topLinePunct w:val="0"/>
        <w:autoSpaceDE/>
        <w:autoSpaceDN/>
        <w:bidi w:val="0"/>
        <w:adjustRightInd/>
        <w:snapToGrid/>
        <w:spacing w:line="576" w:lineRule="exact"/>
        <w:ind w:firstLine="640"/>
        <w:textAlignment w:val="auto"/>
        <w:rPr>
          <w:rFonts w:eastAsia="方正小标宋简体" w:cs="Times New Roman"/>
          <w:highlight w:val="none"/>
        </w:rPr>
      </w:pPr>
      <w:r>
        <w:rPr>
          <w:rFonts w:hint="eastAsia" w:cs="Times New Roman"/>
          <w:sz w:val="32"/>
          <w:highlight w:val="none"/>
        </w:rPr>
        <w:t>批复的经济效益指标：无。</w:t>
      </w:r>
    </w:p>
    <w:p w14:paraId="02B02784">
      <w:pPr>
        <w:keepNext w:val="0"/>
        <w:keepLines w:val="0"/>
        <w:pageBreakBefore w:val="0"/>
        <w:kinsoku/>
        <w:wordWrap/>
        <w:overflowPunct/>
        <w:topLinePunct w:val="0"/>
        <w:autoSpaceDE/>
        <w:autoSpaceDN/>
        <w:bidi w:val="0"/>
        <w:adjustRightInd/>
        <w:snapToGrid/>
        <w:spacing w:line="576" w:lineRule="exact"/>
        <w:ind w:firstLine="640"/>
        <w:textAlignment w:val="auto"/>
        <w:rPr>
          <w:rFonts w:cs="Times New Roman"/>
          <w:sz w:val="32"/>
          <w:highlight w:val="none"/>
        </w:rPr>
      </w:pPr>
      <w:r>
        <w:rPr>
          <w:rFonts w:hint="eastAsia" w:cs="Times New Roman"/>
          <w:sz w:val="32"/>
          <w:highlight w:val="none"/>
        </w:rPr>
        <w:t>通过2024年蓬江区白蚁等害堤动物防治，经济效益指标完成情况为：不发生因白蚁等害堤动物防治不到位造成生命财产损失。</w:t>
      </w:r>
    </w:p>
    <w:p w14:paraId="03E46D57">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（2）项目实施的社会效益分析</w:t>
      </w:r>
    </w:p>
    <w:p w14:paraId="3D3EF14F">
      <w:pPr>
        <w:keepNext w:val="0"/>
        <w:keepLines w:val="0"/>
        <w:pageBreakBefore w:val="0"/>
        <w:kinsoku/>
        <w:wordWrap/>
        <w:overflowPunct/>
        <w:topLinePunct w:val="0"/>
        <w:autoSpaceDE/>
        <w:autoSpaceDN/>
        <w:bidi w:val="0"/>
        <w:adjustRightInd/>
        <w:snapToGrid/>
        <w:spacing w:line="576" w:lineRule="exact"/>
        <w:ind w:firstLine="640"/>
        <w:textAlignment w:val="auto"/>
        <w:rPr>
          <w:rFonts w:eastAsia="方正小标宋简体" w:cs="Times New Roman"/>
          <w:highlight w:val="none"/>
        </w:rPr>
      </w:pPr>
      <w:r>
        <w:rPr>
          <w:rFonts w:hint="eastAsia" w:cs="Times New Roman"/>
          <w:sz w:val="32"/>
          <w:highlight w:val="none"/>
        </w:rPr>
        <w:t>批复的</w:t>
      </w:r>
      <w:r>
        <w:rPr>
          <w:rFonts w:hint="default" w:ascii="Times New Roman" w:hAnsi="Times New Roman" w:cs="Times New Roman"/>
          <w:sz w:val="32"/>
          <w:szCs w:val="32"/>
          <w:highlight w:val="none"/>
        </w:rPr>
        <w:t>社会效益</w:t>
      </w:r>
      <w:r>
        <w:rPr>
          <w:rFonts w:hint="eastAsia" w:cs="Times New Roman"/>
          <w:sz w:val="32"/>
          <w:highlight w:val="none"/>
        </w:rPr>
        <w:t>指标：无。</w:t>
      </w:r>
    </w:p>
    <w:p w14:paraId="740EAF5F">
      <w:pPr>
        <w:keepNext w:val="0"/>
        <w:keepLines w:val="0"/>
        <w:pageBreakBefore w:val="0"/>
        <w:kinsoku/>
        <w:wordWrap/>
        <w:overflowPunct/>
        <w:topLinePunct w:val="0"/>
        <w:autoSpaceDE/>
        <w:autoSpaceDN/>
        <w:bidi w:val="0"/>
        <w:adjustRightInd/>
        <w:snapToGrid/>
        <w:spacing w:line="576" w:lineRule="exact"/>
        <w:ind w:firstLine="640"/>
        <w:textAlignment w:val="auto"/>
        <w:rPr>
          <w:rFonts w:cs="Times New Roman"/>
          <w:sz w:val="32"/>
          <w:highlight w:val="none"/>
        </w:rPr>
      </w:pPr>
      <w:r>
        <w:rPr>
          <w:rFonts w:hint="eastAsia" w:cs="Times New Roman"/>
          <w:sz w:val="32"/>
          <w:highlight w:val="none"/>
        </w:rPr>
        <w:t>通过2024年蓬江区白蚁等害堤</w:t>
      </w:r>
      <w:r>
        <w:rPr>
          <w:rFonts w:hint="eastAsia" w:cs="Times New Roman"/>
          <w:sz w:val="32"/>
          <w:highlight w:val="none"/>
          <w:lang w:eastAsia="zh-CN"/>
        </w:rPr>
        <w:t>生物防治</w:t>
      </w:r>
      <w:r>
        <w:rPr>
          <w:rFonts w:hint="eastAsia" w:cs="Times New Roman"/>
          <w:sz w:val="32"/>
          <w:highlight w:val="none"/>
        </w:rPr>
        <w:t>，社会效益指标完成情况为：无。</w:t>
      </w:r>
    </w:p>
    <w:p w14:paraId="1BEA194E">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（3）项目实施的生态效益分析</w:t>
      </w:r>
    </w:p>
    <w:p w14:paraId="2802CE62">
      <w:pPr>
        <w:keepNext w:val="0"/>
        <w:keepLines w:val="0"/>
        <w:pageBreakBefore w:val="0"/>
        <w:kinsoku/>
        <w:wordWrap/>
        <w:overflowPunct/>
        <w:topLinePunct w:val="0"/>
        <w:autoSpaceDE/>
        <w:autoSpaceDN/>
        <w:bidi w:val="0"/>
        <w:adjustRightInd/>
        <w:snapToGrid/>
        <w:spacing w:line="576" w:lineRule="exact"/>
        <w:ind w:firstLine="640"/>
        <w:textAlignment w:val="auto"/>
        <w:rPr>
          <w:rFonts w:eastAsia="方正小标宋简体" w:cs="Times New Roman"/>
          <w:highlight w:val="none"/>
        </w:rPr>
      </w:pPr>
      <w:r>
        <w:rPr>
          <w:rFonts w:hint="eastAsia" w:cs="Times New Roman"/>
          <w:sz w:val="32"/>
          <w:highlight w:val="none"/>
        </w:rPr>
        <w:t>批复的</w:t>
      </w:r>
      <w:r>
        <w:rPr>
          <w:rFonts w:hint="default" w:ascii="Times New Roman" w:hAnsi="Times New Roman" w:cs="Times New Roman"/>
          <w:sz w:val="32"/>
          <w:szCs w:val="32"/>
          <w:highlight w:val="none"/>
        </w:rPr>
        <w:t>生态效益</w:t>
      </w:r>
      <w:r>
        <w:rPr>
          <w:rFonts w:hint="eastAsia" w:cs="Times New Roman"/>
          <w:sz w:val="32"/>
          <w:highlight w:val="none"/>
        </w:rPr>
        <w:t>指标：无。</w:t>
      </w:r>
    </w:p>
    <w:p w14:paraId="6FAA6E34">
      <w:pPr>
        <w:keepNext w:val="0"/>
        <w:keepLines w:val="0"/>
        <w:pageBreakBefore w:val="0"/>
        <w:kinsoku/>
        <w:wordWrap/>
        <w:overflowPunct/>
        <w:topLinePunct w:val="0"/>
        <w:autoSpaceDE/>
        <w:autoSpaceDN/>
        <w:bidi w:val="0"/>
        <w:adjustRightInd/>
        <w:snapToGrid/>
        <w:spacing w:line="576" w:lineRule="exact"/>
        <w:ind w:firstLine="640"/>
        <w:textAlignment w:val="auto"/>
        <w:rPr>
          <w:rFonts w:cs="Times New Roman"/>
          <w:sz w:val="32"/>
          <w:highlight w:val="none"/>
        </w:rPr>
      </w:pPr>
      <w:r>
        <w:rPr>
          <w:rFonts w:hint="eastAsia" w:cs="Times New Roman"/>
          <w:sz w:val="32"/>
          <w:highlight w:val="none"/>
        </w:rPr>
        <w:t>通过2024年蓬江区白蚁等害堤动物防治，生态效益指标完成情况为：不发生因白蚁等害堤动物防治引起的生态环境保护问题。</w:t>
      </w:r>
      <w:bookmarkStart w:id="0" w:name="_GoBack"/>
      <w:bookmarkEnd w:id="0"/>
    </w:p>
    <w:p w14:paraId="510545AB">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（4）项目实施的可持续影响分析</w:t>
      </w:r>
    </w:p>
    <w:p w14:paraId="62AE825D">
      <w:pPr>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通过2024年蓬江区白蚁等害堤</w:t>
      </w:r>
      <w:r>
        <w:rPr>
          <w:rFonts w:hint="eastAsia" w:cs="Times New Roman"/>
          <w:sz w:val="32"/>
          <w:szCs w:val="32"/>
          <w:highlight w:val="none"/>
          <w:lang w:eastAsia="zh-CN"/>
        </w:rPr>
        <w:t>生物防治</w:t>
      </w:r>
      <w:r>
        <w:rPr>
          <w:rFonts w:hint="default" w:ascii="Times New Roman" w:hAnsi="Times New Roman" w:cs="Times New Roman"/>
          <w:sz w:val="32"/>
          <w:szCs w:val="32"/>
          <w:highlight w:val="none"/>
        </w:rPr>
        <w:t>，已建工程良性运行。</w:t>
      </w:r>
    </w:p>
    <w:p w14:paraId="18AB26F8">
      <w:pPr>
        <w:pStyle w:val="4"/>
        <w:pageBreakBefore w:val="0"/>
        <w:kinsoku/>
        <w:wordWrap/>
        <w:overflowPunct/>
        <w:topLinePunct w:val="0"/>
        <w:autoSpaceDE/>
        <w:autoSpaceDN/>
        <w:bidi w:val="0"/>
        <w:adjustRightInd/>
        <w:snapToGrid/>
        <w:spacing w:line="576" w:lineRule="exact"/>
        <w:ind w:firstLine="643"/>
        <w:textAlignment w:val="auto"/>
        <w:rPr>
          <w:rFonts w:hint="default" w:ascii="Times New Roman" w:hAnsi="Times New Roman" w:eastAsia="楷体_GB2312" w:cs="Times New Roman"/>
          <w:b/>
          <w:bCs w:val="0"/>
          <w:sz w:val="32"/>
          <w:highlight w:val="none"/>
        </w:rPr>
      </w:pPr>
      <w:r>
        <w:rPr>
          <w:rFonts w:hint="default" w:ascii="Times New Roman" w:hAnsi="Times New Roman" w:eastAsia="楷体_GB2312" w:cs="Times New Roman"/>
          <w:b/>
          <w:bCs w:val="0"/>
          <w:sz w:val="32"/>
          <w:highlight w:val="none"/>
        </w:rPr>
        <w:t>（</w:t>
      </w:r>
      <w:r>
        <w:rPr>
          <w:rFonts w:hint="eastAsia" w:eastAsia="楷体_GB2312" w:cs="Times New Roman"/>
          <w:b/>
          <w:bCs w:val="0"/>
          <w:sz w:val="32"/>
          <w:highlight w:val="none"/>
          <w:lang w:val="en-US" w:eastAsia="zh-CN"/>
        </w:rPr>
        <w:t>六</w:t>
      </w:r>
      <w:r>
        <w:rPr>
          <w:rFonts w:hint="default" w:ascii="Times New Roman" w:hAnsi="Times New Roman" w:eastAsia="楷体_GB2312" w:cs="Times New Roman"/>
          <w:b/>
          <w:bCs w:val="0"/>
          <w:sz w:val="32"/>
          <w:highlight w:val="none"/>
        </w:rPr>
        <w:t>）满意度指标完成情况分析</w:t>
      </w:r>
    </w:p>
    <w:p w14:paraId="58FEE140">
      <w:pPr>
        <w:pageBreakBefore w:val="0"/>
        <w:kinsoku/>
        <w:wordWrap/>
        <w:overflowPunct/>
        <w:topLinePunct w:val="0"/>
        <w:bidi w:val="0"/>
        <w:snapToGrid/>
        <w:spacing w:line="576" w:lineRule="exact"/>
        <w:ind w:firstLine="640"/>
        <w:textAlignment w:val="auto"/>
        <w:rPr>
          <w:rFonts w:cs="Times New Roman"/>
          <w:sz w:val="32"/>
          <w:highlight w:val="none"/>
        </w:rPr>
      </w:pPr>
      <w:r>
        <w:rPr>
          <w:rFonts w:eastAsia="仿宋_GB2312"/>
          <w:sz w:val="32"/>
          <w:szCs w:val="32"/>
          <w:highlight w:val="none"/>
        </w:rPr>
        <w:t>项目实施后，项目建设（管理）单位向受益群众发放了满意度调查问卷，</w:t>
      </w:r>
      <w:r>
        <w:rPr>
          <w:rFonts w:hint="eastAsia" w:cs="Times New Roman"/>
          <w:sz w:val="32"/>
          <w:highlight w:val="none"/>
        </w:rPr>
        <w:t>共发放调查问卷</w:t>
      </w:r>
      <w:r>
        <w:rPr>
          <w:rFonts w:hint="eastAsia" w:cs="Times New Roman"/>
          <w:sz w:val="32"/>
          <w:highlight w:val="none"/>
          <w:u w:val="none"/>
          <w:lang w:val="en-US" w:eastAsia="zh-CN"/>
        </w:rPr>
        <w:t>10</w:t>
      </w:r>
      <w:r>
        <w:rPr>
          <w:rFonts w:hint="eastAsia" w:cs="Times New Roman"/>
          <w:sz w:val="32"/>
          <w:highlight w:val="none"/>
        </w:rPr>
        <w:t>份，平均满意度为：</w:t>
      </w:r>
      <w:r>
        <w:rPr>
          <w:rFonts w:hint="eastAsia" w:cs="Times New Roman"/>
          <w:sz w:val="32"/>
          <w:highlight w:val="none"/>
          <w:u w:val="none"/>
          <w:lang w:val="en-US" w:eastAsia="zh-CN"/>
        </w:rPr>
        <w:t>100</w:t>
      </w:r>
      <w:r>
        <w:rPr>
          <w:rFonts w:hint="eastAsia" w:cs="Times New Roman"/>
          <w:sz w:val="32"/>
          <w:highlight w:val="none"/>
        </w:rPr>
        <w:t>%，</w:t>
      </w:r>
      <w:r>
        <w:rPr>
          <w:rFonts w:hint="eastAsia" w:cs="Times New Roman"/>
          <w:sz w:val="32"/>
          <w:highlight w:val="none"/>
          <w:u w:val="none"/>
        </w:rPr>
        <w:t>能</w:t>
      </w:r>
      <w:r>
        <w:rPr>
          <w:rFonts w:hint="eastAsia" w:cs="Times New Roman"/>
          <w:sz w:val="32"/>
          <w:highlight w:val="none"/>
        </w:rPr>
        <w:t>达到年度目标值（</w:t>
      </w:r>
      <w:r>
        <w:rPr>
          <w:rFonts w:eastAsia="仿宋_GB2312"/>
          <w:sz w:val="32"/>
          <w:szCs w:val="32"/>
          <w:highlight w:val="none"/>
        </w:rPr>
        <w:t>受</w:t>
      </w:r>
      <w:r>
        <w:rPr>
          <w:rFonts w:hint="eastAsia" w:cs="Times New Roman"/>
          <w:sz w:val="32"/>
          <w:highlight w:val="none"/>
        </w:rPr>
        <w:t>益群众满意度≥90%）。</w:t>
      </w:r>
    </w:p>
    <w:p w14:paraId="25E23B01">
      <w:pPr>
        <w:pageBreakBefore w:val="0"/>
        <w:kinsoku/>
        <w:wordWrap/>
        <w:overflowPunct/>
        <w:topLinePunct w:val="0"/>
        <w:autoSpaceDE/>
        <w:autoSpaceDN/>
        <w:bidi w:val="0"/>
        <w:adjustRightInd/>
        <w:snapToGrid/>
        <w:spacing w:line="576" w:lineRule="exact"/>
        <w:ind w:firstLine="0" w:firstLineChars="0"/>
        <w:jc w:val="center"/>
        <w:textAlignment w:val="auto"/>
        <w:rPr>
          <w:rFonts w:hint="default" w:ascii="Times New Roman" w:hAnsi="Times New Roman" w:cs="Times New Roman"/>
          <w:highlight w:val="none"/>
        </w:rPr>
      </w:pPr>
      <w:r>
        <w:rPr>
          <w:rFonts w:hint="default" w:ascii="Times New Roman" w:hAnsi="Times New Roman" w:cs="Times New Roman"/>
          <w:highlight w:val="none"/>
        </w:rPr>
        <w:t>表</w:t>
      </w:r>
      <w:r>
        <w:rPr>
          <w:rFonts w:hint="eastAsia" w:cs="Times New Roman"/>
          <w:highlight w:val="none"/>
          <w:lang w:val="en-US" w:eastAsia="zh-CN"/>
        </w:rPr>
        <w:t>6</w:t>
      </w:r>
      <w:r>
        <w:rPr>
          <w:rFonts w:hint="default" w:ascii="Times New Roman" w:hAnsi="Times New Roman" w:cs="Times New Roman"/>
          <w:highlight w:val="none"/>
        </w:rPr>
        <w:t xml:space="preserve">  202</w:t>
      </w:r>
      <w:r>
        <w:rPr>
          <w:rFonts w:hint="eastAsia" w:cs="Times New Roman"/>
          <w:highlight w:val="none"/>
          <w:lang w:val="en-US" w:eastAsia="zh-CN"/>
        </w:rPr>
        <w:t>4</w:t>
      </w:r>
      <w:r>
        <w:rPr>
          <w:rFonts w:hint="default" w:ascii="Times New Roman" w:hAnsi="Times New Roman" w:cs="Times New Roman"/>
          <w:highlight w:val="none"/>
        </w:rPr>
        <w:t>年度水利发展资金项目实施满意度调查情况汇总表</w:t>
      </w:r>
    </w:p>
    <w:tbl>
      <w:tblPr>
        <w:tblStyle w:val="13"/>
        <w:tblW w:w="8522" w:type="dxa"/>
        <w:tblInd w:w="0" w:type="dxa"/>
        <w:tblLayout w:type="fixed"/>
        <w:tblCellMar>
          <w:top w:w="0" w:type="dxa"/>
          <w:left w:w="108" w:type="dxa"/>
          <w:bottom w:w="0" w:type="dxa"/>
          <w:right w:w="108" w:type="dxa"/>
        </w:tblCellMar>
      </w:tblPr>
      <w:tblGrid>
        <w:gridCol w:w="2337"/>
        <w:gridCol w:w="2149"/>
        <w:gridCol w:w="2458"/>
        <w:gridCol w:w="1578"/>
      </w:tblGrid>
      <w:tr w14:paraId="1A7F3703">
        <w:tblPrEx>
          <w:tblCellMar>
            <w:top w:w="0" w:type="dxa"/>
            <w:left w:w="108" w:type="dxa"/>
            <w:bottom w:w="0" w:type="dxa"/>
            <w:right w:w="108" w:type="dxa"/>
          </w:tblCellMar>
        </w:tblPrEx>
        <w:trPr>
          <w:trHeight w:val="480" w:hRule="atLeast"/>
        </w:trPr>
        <w:tc>
          <w:tcPr>
            <w:tcW w:w="2337" w:type="dxa"/>
            <w:tcBorders>
              <w:top w:val="single" w:color="auto" w:sz="4" w:space="0"/>
              <w:left w:val="single" w:color="auto" w:sz="4" w:space="0"/>
              <w:bottom w:val="single" w:color="auto" w:sz="4" w:space="0"/>
              <w:right w:val="single" w:color="auto" w:sz="4" w:space="0"/>
            </w:tcBorders>
            <w:shd w:val="clear" w:color="auto" w:fill="auto"/>
            <w:vAlign w:val="center"/>
          </w:tcPr>
          <w:p w14:paraId="38E079D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0" w:firstLineChars="0"/>
              <w:jc w:val="center"/>
              <w:textAlignment w:val="auto"/>
              <w:rPr>
                <w:rFonts w:hint="default" w:ascii="Times New Roman" w:hAnsi="Times New Roman" w:cs="Times New Roman"/>
                <w:color w:val="000000"/>
                <w:kern w:val="0"/>
                <w:sz w:val="18"/>
                <w:szCs w:val="18"/>
                <w:highlight w:val="none"/>
              </w:rPr>
            </w:pPr>
            <w:r>
              <w:rPr>
                <w:rFonts w:hint="eastAsia" w:ascii="仿宋_GB2312" w:hAnsi="宋体"/>
                <w:kern w:val="0"/>
                <w:sz w:val="18"/>
                <w:szCs w:val="18"/>
                <w:highlight w:val="none"/>
                <w:lang w:val="en-US" w:eastAsia="zh-CN"/>
              </w:rPr>
              <w:t>分类</w:t>
            </w:r>
          </w:p>
        </w:tc>
        <w:tc>
          <w:tcPr>
            <w:tcW w:w="2149" w:type="dxa"/>
            <w:tcBorders>
              <w:top w:val="single" w:color="auto" w:sz="4" w:space="0"/>
              <w:left w:val="nil"/>
              <w:bottom w:val="single" w:color="auto" w:sz="4" w:space="0"/>
              <w:right w:val="single" w:color="auto" w:sz="4" w:space="0"/>
            </w:tcBorders>
            <w:shd w:val="clear" w:color="auto" w:fill="auto"/>
            <w:vAlign w:val="center"/>
          </w:tcPr>
          <w:p w14:paraId="2E3282B2">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center"/>
              <w:textAlignment w:val="auto"/>
              <w:rPr>
                <w:rFonts w:hint="default" w:ascii="Times New Roman" w:hAnsi="Times New Roman" w:cs="Times New Roman"/>
                <w:color w:val="000000"/>
                <w:kern w:val="0"/>
                <w:sz w:val="18"/>
                <w:szCs w:val="18"/>
                <w:highlight w:val="none"/>
              </w:rPr>
            </w:pPr>
            <w:r>
              <w:rPr>
                <w:rFonts w:hint="default" w:ascii="Times New Roman" w:hAnsi="Times New Roman" w:cs="Times New Roman"/>
                <w:color w:val="000000"/>
                <w:kern w:val="0"/>
                <w:sz w:val="18"/>
                <w:szCs w:val="18"/>
                <w:highlight w:val="none"/>
              </w:rPr>
              <w:t>调查问卷数（份）</w:t>
            </w:r>
          </w:p>
        </w:tc>
        <w:tc>
          <w:tcPr>
            <w:tcW w:w="2458" w:type="dxa"/>
            <w:tcBorders>
              <w:top w:val="single" w:color="auto" w:sz="4" w:space="0"/>
              <w:left w:val="nil"/>
              <w:bottom w:val="single" w:color="auto" w:sz="4" w:space="0"/>
              <w:right w:val="single" w:color="auto" w:sz="4" w:space="0"/>
            </w:tcBorders>
            <w:shd w:val="clear" w:color="auto" w:fill="auto"/>
            <w:vAlign w:val="center"/>
          </w:tcPr>
          <w:p w14:paraId="2AEC6646">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center"/>
              <w:textAlignment w:val="auto"/>
              <w:rPr>
                <w:rFonts w:hint="default" w:ascii="Times New Roman" w:hAnsi="Times New Roman" w:cs="Times New Roman"/>
                <w:color w:val="000000"/>
                <w:kern w:val="0"/>
                <w:sz w:val="18"/>
                <w:szCs w:val="18"/>
                <w:highlight w:val="none"/>
              </w:rPr>
            </w:pPr>
            <w:r>
              <w:rPr>
                <w:rFonts w:hint="default" w:ascii="Times New Roman" w:hAnsi="Times New Roman" w:cs="Times New Roman"/>
                <w:color w:val="000000"/>
                <w:kern w:val="0"/>
                <w:sz w:val="18"/>
                <w:szCs w:val="18"/>
                <w:highlight w:val="none"/>
              </w:rPr>
              <w:t>平均满意度（分）</w:t>
            </w:r>
          </w:p>
        </w:tc>
        <w:tc>
          <w:tcPr>
            <w:tcW w:w="1578" w:type="dxa"/>
            <w:tcBorders>
              <w:top w:val="single" w:color="auto" w:sz="4" w:space="0"/>
              <w:left w:val="nil"/>
              <w:bottom w:val="single" w:color="auto" w:sz="4" w:space="0"/>
              <w:right w:val="single" w:color="auto" w:sz="4" w:space="0"/>
            </w:tcBorders>
            <w:shd w:val="clear" w:color="auto" w:fill="auto"/>
            <w:vAlign w:val="center"/>
          </w:tcPr>
          <w:p w14:paraId="2FC7598F">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center"/>
              <w:textAlignment w:val="auto"/>
              <w:rPr>
                <w:rFonts w:hint="default" w:ascii="Times New Roman" w:hAnsi="Times New Roman" w:cs="Times New Roman"/>
                <w:color w:val="000000"/>
                <w:kern w:val="0"/>
                <w:sz w:val="18"/>
                <w:szCs w:val="18"/>
                <w:highlight w:val="none"/>
              </w:rPr>
            </w:pPr>
            <w:r>
              <w:rPr>
                <w:rFonts w:hint="default" w:ascii="Times New Roman" w:hAnsi="Times New Roman" w:cs="Times New Roman"/>
                <w:color w:val="000000"/>
                <w:kern w:val="0"/>
                <w:sz w:val="18"/>
                <w:szCs w:val="18"/>
                <w:highlight w:val="none"/>
              </w:rPr>
              <w:t>备注</w:t>
            </w:r>
          </w:p>
        </w:tc>
      </w:tr>
      <w:tr w14:paraId="6E155461">
        <w:tblPrEx>
          <w:tblCellMar>
            <w:top w:w="0" w:type="dxa"/>
            <w:left w:w="108" w:type="dxa"/>
            <w:bottom w:w="0" w:type="dxa"/>
            <w:right w:w="108" w:type="dxa"/>
          </w:tblCellMar>
        </w:tblPrEx>
        <w:trPr>
          <w:trHeight w:val="288" w:hRule="atLeast"/>
        </w:trPr>
        <w:tc>
          <w:tcPr>
            <w:tcW w:w="2337" w:type="dxa"/>
            <w:tcBorders>
              <w:top w:val="nil"/>
              <w:left w:val="single" w:color="auto" w:sz="4" w:space="0"/>
              <w:bottom w:val="single" w:color="auto" w:sz="4" w:space="0"/>
              <w:right w:val="single" w:color="auto" w:sz="4" w:space="0"/>
            </w:tcBorders>
            <w:shd w:val="clear" w:color="auto" w:fill="auto"/>
            <w:vAlign w:val="center"/>
          </w:tcPr>
          <w:p w14:paraId="0EAAF8A2">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center"/>
              <w:textAlignment w:val="auto"/>
              <w:rPr>
                <w:rFonts w:hint="default" w:ascii="Times New Roman" w:hAnsi="Times New Roman" w:eastAsia="仿宋_GB2312" w:cs="Times New Roman"/>
                <w:color w:val="000000"/>
                <w:kern w:val="0"/>
                <w:sz w:val="18"/>
                <w:szCs w:val="18"/>
                <w:highlight w:val="none"/>
                <w:lang w:val="en-US" w:eastAsia="zh-CN"/>
              </w:rPr>
            </w:pPr>
            <w:r>
              <w:rPr>
                <w:rFonts w:hint="eastAsia" w:cs="Times New Roman"/>
                <w:color w:val="000000"/>
                <w:kern w:val="0"/>
                <w:sz w:val="18"/>
                <w:szCs w:val="18"/>
                <w:highlight w:val="none"/>
                <w:lang w:val="en-US" w:eastAsia="zh-CN"/>
              </w:rPr>
              <w:t>合计</w:t>
            </w:r>
          </w:p>
        </w:tc>
        <w:tc>
          <w:tcPr>
            <w:tcW w:w="2149" w:type="dxa"/>
            <w:tcBorders>
              <w:top w:val="nil"/>
              <w:left w:val="nil"/>
              <w:bottom w:val="single" w:color="auto" w:sz="4" w:space="0"/>
              <w:right w:val="single" w:color="auto" w:sz="4" w:space="0"/>
            </w:tcBorders>
            <w:shd w:val="clear" w:color="auto" w:fill="auto"/>
            <w:vAlign w:val="center"/>
          </w:tcPr>
          <w:p w14:paraId="0E8867BC">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center"/>
              <w:textAlignment w:val="auto"/>
              <w:rPr>
                <w:rFonts w:hint="default" w:ascii="Times New Roman" w:hAnsi="Times New Roman" w:eastAsia="仿宋_GB2312" w:cs="Times New Roman"/>
                <w:color w:val="000000"/>
                <w:kern w:val="0"/>
                <w:sz w:val="28"/>
                <w:szCs w:val="28"/>
                <w:highlight w:val="none"/>
                <w:lang w:val="en-US" w:eastAsia="zh-CN"/>
              </w:rPr>
            </w:pPr>
            <w:r>
              <w:rPr>
                <w:rFonts w:hint="eastAsia" w:cs="Times New Roman"/>
                <w:color w:val="000000"/>
                <w:kern w:val="0"/>
                <w:sz w:val="28"/>
                <w:szCs w:val="28"/>
                <w:highlight w:val="none"/>
                <w:lang w:val="en-US" w:eastAsia="zh-CN"/>
              </w:rPr>
              <w:t>10</w:t>
            </w:r>
          </w:p>
        </w:tc>
        <w:tc>
          <w:tcPr>
            <w:tcW w:w="2458" w:type="dxa"/>
            <w:tcBorders>
              <w:top w:val="nil"/>
              <w:left w:val="nil"/>
              <w:bottom w:val="single" w:color="auto" w:sz="4" w:space="0"/>
              <w:right w:val="single" w:color="auto" w:sz="4" w:space="0"/>
            </w:tcBorders>
            <w:shd w:val="clear" w:color="auto" w:fill="auto"/>
            <w:vAlign w:val="center"/>
          </w:tcPr>
          <w:p w14:paraId="7AC0A3BF">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center"/>
              <w:textAlignment w:val="auto"/>
              <w:rPr>
                <w:rFonts w:hint="default" w:ascii="Times New Roman" w:hAnsi="Times New Roman" w:eastAsia="仿宋_GB2312" w:cs="Times New Roman"/>
                <w:color w:val="000000"/>
                <w:kern w:val="0"/>
                <w:sz w:val="28"/>
                <w:szCs w:val="28"/>
                <w:highlight w:val="none"/>
                <w:lang w:val="en-US" w:eastAsia="zh-CN"/>
              </w:rPr>
            </w:pPr>
            <w:r>
              <w:rPr>
                <w:rFonts w:hint="eastAsia" w:cs="Times New Roman"/>
                <w:color w:val="000000"/>
                <w:kern w:val="0"/>
                <w:sz w:val="28"/>
                <w:szCs w:val="28"/>
                <w:highlight w:val="none"/>
                <w:lang w:val="en-US" w:eastAsia="zh-CN"/>
              </w:rPr>
              <w:t>100</w:t>
            </w:r>
          </w:p>
        </w:tc>
        <w:tc>
          <w:tcPr>
            <w:tcW w:w="1578" w:type="dxa"/>
            <w:tcBorders>
              <w:top w:val="nil"/>
              <w:left w:val="nil"/>
              <w:bottom w:val="single" w:color="auto" w:sz="4" w:space="0"/>
              <w:right w:val="single" w:color="auto" w:sz="4" w:space="0"/>
            </w:tcBorders>
            <w:shd w:val="clear" w:color="auto" w:fill="auto"/>
            <w:vAlign w:val="center"/>
          </w:tcPr>
          <w:p w14:paraId="0FC7309C">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firstLineChars="0"/>
              <w:jc w:val="center"/>
              <w:textAlignment w:val="auto"/>
              <w:rPr>
                <w:rFonts w:hint="default" w:ascii="Times New Roman" w:hAnsi="Times New Roman" w:cs="Times New Roman"/>
                <w:color w:val="000000"/>
                <w:kern w:val="0"/>
                <w:sz w:val="18"/>
                <w:szCs w:val="18"/>
                <w:highlight w:val="none"/>
              </w:rPr>
            </w:pPr>
          </w:p>
        </w:tc>
      </w:tr>
      <w:tr w14:paraId="60527DD5">
        <w:tblPrEx>
          <w:tblCellMar>
            <w:top w:w="0" w:type="dxa"/>
            <w:left w:w="108" w:type="dxa"/>
            <w:bottom w:w="0" w:type="dxa"/>
            <w:right w:w="108" w:type="dxa"/>
          </w:tblCellMar>
        </w:tblPrEx>
        <w:tc>
          <w:tcPr>
            <w:tcBorders>
              <w:top w:val="single" w:color="auto" w:sz="4" w:space="0"/>
              <w:left w:val="single" w:color="auto" w:sz="4" w:space="0"/>
              <w:bottom w:val="single" w:color="auto" w:sz="4" w:space="0"/>
              <w:right w:val="single" w:color="auto" w:sz="4" w:space="0"/>
            </w:tcBorders>
          </w:tcPr>
          <w:p w14:paraId="20B3E46B">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jc w:val="center"/>
              <w:textAlignment w:val="auto"/>
              <w:rPr>
                <w:rFonts w:hint="default"/>
              </w:rPr>
            </w:pPr>
            <w:r>
              <w:rPr>
                <w:rFonts w:hint="default" w:ascii="仿宋_GB2312" w:hAnsi="仿宋_GB2312" w:eastAsia="仿宋_GB2312" w:cs="仿宋_GB2312"/>
                <w:sz w:val="18"/>
              </w:rPr>
              <w:t>白蚁防治</w:t>
            </w:r>
          </w:p>
        </w:tc>
        <w:tc>
          <w:tcPr>
            <w:tcBorders>
              <w:top w:val="single" w:color="auto" w:sz="4" w:space="0"/>
              <w:left w:val="single" w:color="auto" w:sz="4" w:space="0"/>
              <w:bottom w:val="single" w:color="auto" w:sz="4" w:space="0"/>
              <w:right w:val="single" w:color="auto" w:sz="4" w:space="0"/>
            </w:tcBorders>
            <w:vAlign w:val="center"/>
          </w:tcPr>
          <w:p w14:paraId="006DCE89">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840" w:firstLineChars="300"/>
              <w:jc w:val="both"/>
              <w:textAlignment w:val="auto"/>
              <w:rPr>
                <w:rFonts w:hint="default" w:eastAsia="仿宋_GB2312"/>
                <w:lang w:val="en-US" w:eastAsia="zh-CN"/>
              </w:rPr>
            </w:pPr>
            <w:r>
              <w:rPr>
                <w:rFonts w:hint="eastAsia"/>
                <w:lang w:val="en-US" w:eastAsia="zh-CN"/>
              </w:rPr>
              <w:t>10</w:t>
            </w:r>
          </w:p>
        </w:tc>
        <w:tc>
          <w:tcPr>
            <w:tcBorders>
              <w:top w:val="single" w:color="auto" w:sz="4" w:space="0"/>
              <w:left w:val="single" w:color="auto" w:sz="4" w:space="0"/>
              <w:bottom w:val="single" w:color="auto" w:sz="4" w:space="0"/>
              <w:right w:val="single" w:color="auto" w:sz="4" w:space="0"/>
            </w:tcBorders>
            <w:vAlign w:val="center"/>
          </w:tcPr>
          <w:p w14:paraId="09FD6D90">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840" w:firstLineChars="300"/>
              <w:jc w:val="both"/>
              <w:textAlignment w:val="auto"/>
              <w:rPr>
                <w:rFonts w:hint="default" w:eastAsia="仿宋_GB2312"/>
                <w:lang w:val="en-US" w:eastAsia="zh-CN"/>
              </w:rPr>
            </w:pPr>
            <w:r>
              <w:rPr>
                <w:rFonts w:hint="eastAsia"/>
                <w:lang w:val="en-US" w:eastAsia="zh-CN"/>
              </w:rPr>
              <w:t>100</w:t>
            </w:r>
          </w:p>
        </w:tc>
        <w:tc>
          <w:tcPr>
            <w:tcBorders>
              <w:top w:val="single" w:color="auto" w:sz="4" w:space="0"/>
              <w:left w:val="single" w:color="auto" w:sz="4" w:space="0"/>
              <w:bottom w:val="single" w:color="auto" w:sz="4" w:space="0"/>
              <w:right w:val="single" w:color="auto" w:sz="4" w:space="0"/>
            </w:tcBorders>
          </w:tcPr>
          <w:p w14:paraId="256A076D">
            <w:pPr>
              <w:keepNext w:val="0"/>
              <w:keepLines w:val="0"/>
              <w:pageBreakBefore w:val="0"/>
              <w:widowControl/>
              <w:suppressLineNumbers w:val="0"/>
              <w:kinsoku/>
              <w:wordWrap/>
              <w:overflowPunct/>
              <w:topLinePunct w:val="0"/>
              <w:bidi w:val="0"/>
              <w:snapToGrid/>
              <w:spacing w:before="0" w:beforeAutospacing="0" w:after="0" w:afterAutospacing="0" w:line="576" w:lineRule="exact"/>
              <w:ind w:left="0" w:right="0" w:firstLine="0"/>
              <w:jc w:val="center"/>
              <w:textAlignment w:val="auto"/>
              <w:rPr>
                <w:rFonts w:hint="default"/>
              </w:rPr>
            </w:pPr>
          </w:p>
        </w:tc>
      </w:tr>
    </w:tbl>
    <w:p w14:paraId="42CC825F">
      <w:pPr>
        <w:pStyle w:val="3"/>
        <w:keepNext w:val="0"/>
        <w:keepLines w:val="0"/>
        <w:pageBreakBefore w:val="0"/>
        <w:widowControl w:val="0"/>
        <w:kinsoku/>
        <w:wordWrap/>
        <w:overflowPunct/>
        <w:topLinePunct w:val="0"/>
        <w:autoSpaceDE/>
        <w:autoSpaceDN/>
        <w:bidi w:val="0"/>
        <w:adjustRightInd/>
        <w:snapToGrid/>
        <w:spacing w:line="576" w:lineRule="exact"/>
        <w:ind w:left="0" w:leftChars="0" w:firstLine="640" w:firstLineChars="200"/>
        <w:textAlignment w:val="auto"/>
        <w:rPr>
          <w:rFonts w:hint="default" w:ascii="Times New Roman" w:hAnsi="Times New Roman" w:eastAsia="黑体" w:cs="Times New Roman"/>
          <w:b w:val="0"/>
          <w:bCs w:val="0"/>
          <w:sz w:val="32"/>
          <w:szCs w:val="32"/>
          <w:highlight w:val="none"/>
        </w:rPr>
      </w:pPr>
      <w:r>
        <w:rPr>
          <w:rFonts w:hint="default" w:ascii="Times New Roman" w:hAnsi="Times New Roman" w:eastAsia="黑体" w:cs="Times New Roman"/>
          <w:b w:val="0"/>
          <w:bCs w:val="0"/>
          <w:sz w:val="32"/>
          <w:szCs w:val="32"/>
          <w:highlight w:val="none"/>
        </w:rPr>
        <w:t>四、偏离绩效目标原因和下一步改进措施</w:t>
      </w:r>
    </w:p>
    <w:p w14:paraId="28CB8913">
      <w:pPr>
        <w:pStyle w:val="3"/>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eastAsia"/>
          <w:color w:val="auto"/>
          <w:kern w:val="2"/>
          <w:sz w:val="32"/>
          <w:highlight w:val="none"/>
          <w:u w:val="single"/>
          <w:lang w:val="en-US" w:eastAsia="zh-CN"/>
        </w:rPr>
      </w:pPr>
      <w:r>
        <w:rPr>
          <w:rFonts w:hint="eastAsia"/>
          <w:b w:val="0"/>
          <w:bCs w:val="0"/>
          <w:color w:val="auto"/>
          <w:kern w:val="2"/>
          <w:sz w:val="32"/>
          <w:highlight w:val="none"/>
          <w:u w:val="none"/>
          <w:lang w:val="en-US" w:eastAsia="zh-CN"/>
        </w:rPr>
        <w:t>无</w:t>
      </w:r>
    </w:p>
    <w:p w14:paraId="3DCB527B">
      <w:pPr>
        <w:pStyle w:val="3"/>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黑体" w:cs="Times New Roman"/>
          <w:b w:val="0"/>
          <w:bCs w:val="0"/>
          <w:sz w:val="32"/>
          <w:szCs w:val="32"/>
          <w:highlight w:val="none"/>
        </w:rPr>
      </w:pPr>
      <w:r>
        <w:rPr>
          <w:rFonts w:hint="eastAsia" w:eastAsia="黑体" w:cs="Times New Roman"/>
          <w:b w:val="0"/>
          <w:bCs w:val="0"/>
          <w:sz w:val="32"/>
          <w:szCs w:val="32"/>
          <w:highlight w:val="none"/>
          <w:lang w:val="en-US" w:eastAsia="zh-CN"/>
        </w:rPr>
        <w:t>五</w:t>
      </w:r>
      <w:r>
        <w:rPr>
          <w:rFonts w:hint="default" w:ascii="Times New Roman" w:hAnsi="Times New Roman" w:eastAsia="黑体" w:cs="Times New Roman"/>
          <w:b w:val="0"/>
          <w:bCs w:val="0"/>
          <w:sz w:val="32"/>
          <w:szCs w:val="32"/>
          <w:highlight w:val="none"/>
        </w:rPr>
        <w:t>、绩效评价结果拟应用和公开情况</w:t>
      </w:r>
    </w:p>
    <w:p w14:paraId="3540C47B">
      <w:pPr>
        <w:pStyle w:val="3"/>
        <w:keepNext w:val="0"/>
        <w:keepLines w:val="0"/>
        <w:pageBreakBefore w:val="0"/>
        <w:widowControl w:val="0"/>
        <w:kinsoku/>
        <w:wordWrap/>
        <w:overflowPunct/>
        <w:topLinePunct w:val="0"/>
        <w:autoSpaceDE/>
        <w:autoSpaceDN/>
        <w:bidi w:val="0"/>
        <w:adjustRightInd/>
        <w:snapToGrid/>
        <w:spacing w:line="576" w:lineRule="exact"/>
        <w:ind w:firstLine="640"/>
        <w:textAlignment w:val="auto"/>
        <w:rPr>
          <w:rFonts w:hint="default" w:ascii="Times New Roman" w:hAnsi="Times New Roman" w:eastAsia="仿宋_GB2312"/>
          <w:color w:val="auto"/>
          <w:kern w:val="2"/>
          <w:sz w:val="32"/>
          <w:highlight w:val="none"/>
          <w:u w:val="none"/>
        </w:rPr>
      </w:pPr>
      <w:r>
        <w:rPr>
          <w:rFonts w:hint="default" w:ascii="Times New Roman" w:hAnsi="Times New Roman" w:eastAsia="仿宋_GB2312"/>
          <w:b w:val="0"/>
          <w:bCs w:val="0"/>
          <w:color w:val="auto"/>
          <w:kern w:val="2"/>
          <w:sz w:val="32"/>
          <w:highlight w:val="none"/>
          <w:u w:val="none"/>
        </w:rPr>
        <w:t>202</w:t>
      </w:r>
      <w:r>
        <w:rPr>
          <w:rFonts w:hint="eastAsia"/>
          <w:b w:val="0"/>
          <w:bCs w:val="0"/>
          <w:color w:val="auto"/>
          <w:kern w:val="2"/>
          <w:sz w:val="32"/>
          <w:highlight w:val="none"/>
          <w:u w:val="none"/>
          <w:lang w:val="en-US" w:eastAsia="zh-CN"/>
        </w:rPr>
        <w:t>4</w:t>
      </w:r>
      <w:r>
        <w:rPr>
          <w:rFonts w:hint="default" w:ascii="Times New Roman" w:hAnsi="Times New Roman" w:eastAsia="仿宋_GB2312"/>
          <w:b w:val="0"/>
          <w:bCs w:val="0"/>
          <w:color w:val="auto"/>
          <w:kern w:val="2"/>
          <w:sz w:val="32"/>
          <w:highlight w:val="none"/>
          <w:u w:val="none"/>
        </w:rPr>
        <w:t>年度，我区绩效自评9</w:t>
      </w:r>
      <w:r>
        <w:rPr>
          <w:rFonts w:hint="eastAsia"/>
          <w:b w:val="0"/>
          <w:bCs w:val="0"/>
          <w:color w:val="auto"/>
          <w:kern w:val="2"/>
          <w:sz w:val="32"/>
          <w:highlight w:val="none"/>
          <w:u w:val="none"/>
          <w:lang w:val="en-US" w:eastAsia="zh-CN"/>
        </w:rPr>
        <w:t>5</w:t>
      </w:r>
      <w:r>
        <w:rPr>
          <w:rFonts w:hint="default" w:ascii="Times New Roman" w:hAnsi="Times New Roman" w:eastAsia="仿宋_GB2312"/>
          <w:b w:val="0"/>
          <w:bCs w:val="0"/>
          <w:color w:val="auto"/>
          <w:kern w:val="2"/>
          <w:sz w:val="32"/>
          <w:highlight w:val="none"/>
          <w:u w:val="none"/>
        </w:rPr>
        <w:t>分。我区202</w:t>
      </w:r>
      <w:r>
        <w:rPr>
          <w:rFonts w:hint="eastAsia"/>
          <w:b w:val="0"/>
          <w:bCs w:val="0"/>
          <w:color w:val="auto"/>
          <w:kern w:val="2"/>
          <w:sz w:val="32"/>
          <w:highlight w:val="none"/>
          <w:u w:val="none"/>
          <w:lang w:val="en-US" w:eastAsia="zh-CN"/>
        </w:rPr>
        <w:t>4</w:t>
      </w:r>
      <w:r>
        <w:rPr>
          <w:rFonts w:hint="default" w:ascii="Times New Roman" w:hAnsi="Times New Roman" w:eastAsia="仿宋_GB2312"/>
          <w:b w:val="0"/>
          <w:bCs w:val="0"/>
          <w:color w:val="auto"/>
          <w:kern w:val="2"/>
          <w:sz w:val="32"/>
          <w:highlight w:val="none"/>
          <w:u w:val="none"/>
        </w:rPr>
        <w:t>年中央水利发展资金实施的两宗项目绩效目标合理、指标明确，预算编制准确，财务制度健全，专项资金管理坚持规范管理、严格审批、权责明确、绩效优先、公平公开、强化监督的原则，管理制度健全，组织实施规范，产出到位，效益显著。</w:t>
      </w:r>
    </w:p>
    <w:p w14:paraId="19A944C2">
      <w:pPr>
        <w:pStyle w:val="3"/>
        <w:pageBreakBefore w:val="0"/>
        <w:widowControl/>
        <w:kinsoku/>
        <w:wordWrap/>
        <w:overflowPunct/>
        <w:topLinePunct w:val="0"/>
        <w:autoSpaceDE/>
        <w:autoSpaceDN/>
        <w:bidi w:val="0"/>
        <w:adjustRightInd/>
        <w:snapToGrid/>
        <w:spacing w:line="576" w:lineRule="exact"/>
        <w:ind w:firstLine="640"/>
        <w:textAlignment w:val="auto"/>
        <w:rPr>
          <w:rFonts w:hint="default" w:ascii="Times New Roman" w:hAnsi="Times New Roman" w:eastAsia="黑体" w:cs="Times New Roman"/>
          <w:b w:val="0"/>
          <w:bCs w:val="0"/>
          <w:sz w:val="32"/>
          <w:szCs w:val="32"/>
          <w:highlight w:val="none"/>
        </w:rPr>
      </w:pPr>
      <w:r>
        <w:rPr>
          <w:rFonts w:hint="eastAsia" w:eastAsia="黑体" w:cs="Times New Roman"/>
          <w:b w:val="0"/>
          <w:bCs w:val="0"/>
          <w:sz w:val="32"/>
          <w:szCs w:val="32"/>
          <w:highlight w:val="none"/>
          <w:lang w:val="en-US" w:eastAsia="zh-CN"/>
        </w:rPr>
        <w:t>六</w:t>
      </w:r>
      <w:r>
        <w:rPr>
          <w:rFonts w:hint="default" w:ascii="Times New Roman" w:hAnsi="Times New Roman" w:eastAsia="黑体" w:cs="Times New Roman"/>
          <w:b w:val="0"/>
          <w:bCs w:val="0"/>
          <w:sz w:val="32"/>
          <w:szCs w:val="32"/>
          <w:highlight w:val="none"/>
        </w:rPr>
        <w:t>、其他需说明的问题</w:t>
      </w:r>
    </w:p>
    <w:p w14:paraId="0DD56F05">
      <w:pPr>
        <w:keepNext w:val="0"/>
        <w:keepLines w:val="0"/>
        <w:pageBreakBefore w:val="0"/>
        <w:widowControl/>
        <w:kinsoku/>
        <w:wordWrap/>
        <w:overflowPunct/>
        <w:topLinePunct w:val="0"/>
        <w:autoSpaceDE/>
        <w:autoSpaceDN/>
        <w:bidi w:val="0"/>
        <w:adjustRightInd/>
        <w:snapToGrid/>
        <w:spacing w:line="576" w:lineRule="exact"/>
        <w:ind w:firstLine="640"/>
        <w:textAlignment w:val="auto"/>
        <w:rPr>
          <w:rFonts w:hint="eastAsia" w:ascii="Times New Roman" w:hAnsi="Times New Roman" w:eastAsia="仿宋_GB2312" w:cs="Times New Roman"/>
          <w:sz w:val="32"/>
          <w:szCs w:val="32"/>
          <w:highlight w:val="none"/>
          <w:u w:val="none"/>
          <w:lang w:eastAsia="zh-CN"/>
        </w:rPr>
      </w:pPr>
      <w:r>
        <w:rPr>
          <w:rFonts w:hint="eastAsia"/>
          <w:color w:val="auto"/>
          <w:kern w:val="2"/>
          <w:sz w:val="32"/>
          <w:highlight w:val="none"/>
          <w:u w:val="none"/>
          <w:lang w:val="en-US" w:eastAsia="zh-CN"/>
        </w:rPr>
        <w:t>无</w:t>
      </w:r>
    </w:p>
    <w:p w14:paraId="13EAD5CD">
      <w:pPr>
        <w:keepNext w:val="0"/>
        <w:keepLines w:val="0"/>
        <w:pageBreakBefore w:val="0"/>
        <w:widowControl/>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sz w:val="32"/>
          <w:szCs w:val="32"/>
          <w:highlight w:val="none"/>
        </w:rPr>
      </w:pPr>
    </w:p>
    <w:p w14:paraId="39E38348">
      <w:pPr>
        <w:keepNext w:val="0"/>
        <w:keepLines w:val="0"/>
        <w:pageBreakBefore w:val="0"/>
        <w:widowControl/>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附件：</w:t>
      </w:r>
    </w:p>
    <w:p w14:paraId="5D877B40">
      <w:pPr>
        <w:keepNext w:val="0"/>
        <w:keepLines w:val="0"/>
        <w:pageBreakBefore w:val="0"/>
        <w:widowControl/>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sz w:val="32"/>
          <w:szCs w:val="32"/>
          <w:highlight w:val="none"/>
        </w:rPr>
      </w:pPr>
      <w:r>
        <w:rPr>
          <w:rFonts w:hint="default" w:ascii="Times New Roman" w:hAnsi="Times New Roman" w:cs="Times New Roman"/>
          <w:sz w:val="32"/>
          <w:szCs w:val="32"/>
          <w:highlight w:val="none"/>
        </w:rPr>
        <w:t>1. 江门市蓬江区202</w:t>
      </w:r>
      <w:r>
        <w:rPr>
          <w:rFonts w:hint="eastAsia" w:cs="Times New Roman"/>
          <w:sz w:val="32"/>
          <w:szCs w:val="32"/>
          <w:highlight w:val="none"/>
          <w:lang w:val="en-US" w:eastAsia="zh-CN"/>
        </w:rPr>
        <w:t>4</w:t>
      </w:r>
      <w:r>
        <w:rPr>
          <w:rFonts w:hint="default" w:ascii="Times New Roman" w:hAnsi="Times New Roman" w:cs="Times New Roman"/>
          <w:sz w:val="32"/>
          <w:szCs w:val="32"/>
          <w:highlight w:val="none"/>
        </w:rPr>
        <w:t>年度水利发展资金项目实施情况统计表</w:t>
      </w:r>
    </w:p>
    <w:p w14:paraId="0B62B7AE">
      <w:pPr>
        <w:keepNext w:val="0"/>
        <w:keepLines w:val="0"/>
        <w:pageBreakBefore w:val="0"/>
        <w:widowControl/>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sz w:val="32"/>
          <w:szCs w:val="32"/>
          <w:highlight w:val="none"/>
        </w:rPr>
      </w:pPr>
      <w:r>
        <w:rPr>
          <w:rFonts w:hint="eastAsia" w:cs="Times New Roman"/>
          <w:sz w:val="32"/>
          <w:szCs w:val="32"/>
          <w:highlight w:val="none"/>
          <w:lang w:val="en-US" w:eastAsia="zh-CN"/>
        </w:rPr>
        <w:t>2</w:t>
      </w:r>
      <w:r>
        <w:rPr>
          <w:rFonts w:hint="default" w:ascii="Times New Roman" w:hAnsi="Times New Roman" w:cs="Times New Roman"/>
          <w:sz w:val="32"/>
          <w:szCs w:val="32"/>
          <w:highlight w:val="none"/>
        </w:rPr>
        <w:t>. 江门市蓬江区202</w:t>
      </w:r>
      <w:r>
        <w:rPr>
          <w:rFonts w:hint="eastAsia" w:cs="Times New Roman"/>
          <w:sz w:val="32"/>
          <w:szCs w:val="32"/>
          <w:highlight w:val="none"/>
          <w:lang w:val="en-US" w:eastAsia="zh-CN"/>
        </w:rPr>
        <w:t>4</w:t>
      </w:r>
      <w:r>
        <w:rPr>
          <w:rFonts w:hint="default" w:ascii="Times New Roman" w:hAnsi="Times New Roman" w:cs="Times New Roman"/>
          <w:sz w:val="32"/>
          <w:szCs w:val="32"/>
          <w:highlight w:val="none"/>
        </w:rPr>
        <w:t>年度水利发展资金绩效自评表</w:t>
      </w:r>
    </w:p>
    <w:p w14:paraId="1FBCDF4D">
      <w:pPr>
        <w:keepNext w:val="0"/>
        <w:keepLines w:val="0"/>
        <w:pageBreakBefore w:val="0"/>
        <w:widowControl/>
        <w:kinsoku/>
        <w:wordWrap/>
        <w:overflowPunct/>
        <w:topLinePunct w:val="0"/>
        <w:autoSpaceDE/>
        <w:autoSpaceDN/>
        <w:bidi w:val="0"/>
        <w:adjustRightInd/>
        <w:snapToGrid/>
        <w:spacing w:line="576" w:lineRule="exact"/>
        <w:ind w:firstLine="640"/>
        <w:textAlignment w:val="auto"/>
        <w:rPr>
          <w:rFonts w:hint="default" w:ascii="Times New Roman" w:hAnsi="Times New Roman" w:cs="Times New Roman"/>
          <w:sz w:val="32"/>
          <w:szCs w:val="32"/>
          <w:highlight w:val="none"/>
        </w:rPr>
      </w:pPr>
      <w:r>
        <w:rPr>
          <w:rFonts w:hint="eastAsia" w:cs="Times New Roman"/>
          <w:sz w:val="32"/>
          <w:szCs w:val="32"/>
          <w:highlight w:val="none"/>
          <w:lang w:val="en-US" w:eastAsia="zh-CN"/>
        </w:rPr>
        <w:t>3</w:t>
      </w:r>
      <w:r>
        <w:rPr>
          <w:rFonts w:hint="default" w:ascii="Times New Roman" w:hAnsi="Times New Roman" w:cs="Times New Roman"/>
          <w:sz w:val="32"/>
          <w:szCs w:val="32"/>
          <w:highlight w:val="none"/>
        </w:rPr>
        <w:t>. 江门市蓬江区202</w:t>
      </w:r>
      <w:r>
        <w:rPr>
          <w:rFonts w:hint="eastAsia" w:cs="Times New Roman"/>
          <w:sz w:val="32"/>
          <w:szCs w:val="32"/>
          <w:highlight w:val="none"/>
          <w:lang w:val="en-US" w:eastAsia="zh-CN"/>
        </w:rPr>
        <w:t>4</w:t>
      </w:r>
      <w:r>
        <w:rPr>
          <w:rFonts w:hint="default" w:ascii="Times New Roman" w:hAnsi="Times New Roman" w:cs="Times New Roman"/>
          <w:sz w:val="32"/>
          <w:szCs w:val="32"/>
          <w:highlight w:val="none"/>
        </w:rPr>
        <w:t>年度水利发展资金主要支出方向绩效自评表</w:t>
      </w:r>
    </w:p>
    <w:p w14:paraId="352EA5DB">
      <w:pPr>
        <w:pStyle w:val="2"/>
        <w:keepNext w:val="0"/>
        <w:keepLines w:val="0"/>
        <w:pageBreakBefore w:val="0"/>
        <w:widowControl/>
        <w:kinsoku/>
        <w:wordWrap/>
        <w:overflowPunct/>
        <w:topLinePunct w:val="0"/>
        <w:autoSpaceDE/>
        <w:autoSpaceDN/>
        <w:bidi w:val="0"/>
        <w:adjustRightInd/>
        <w:snapToGrid/>
        <w:spacing w:line="576" w:lineRule="exact"/>
        <w:textAlignment w:val="auto"/>
        <w:rPr>
          <w:rFonts w:hint="default" w:ascii="Times New Roman" w:hAnsi="Times New Roman" w:cs="Times New Roman"/>
          <w:sz w:val="32"/>
          <w:szCs w:val="32"/>
          <w:highlight w:val="none"/>
        </w:rPr>
      </w:pPr>
    </w:p>
    <w:p w14:paraId="5BF9342A">
      <w:pPr>
        <w:pStyle w:val="2"/>
        <w:keepNext w:val="0"/>
        <w:keepLines w:val="0"/>
        <w:pageBreakBefore w:val="0"/>
        <w:widowControl/>
        <w:kinsoku/>
        <w:wordWrap/>
        <w:overflowPunct/>
        <w:topLinePunct w:val="0"/>
        <w:autoSpaceDE/>
        <w:autoSpaceDN/>
        <w:bidi w:val="0"/>
        <w:adjustRightInd/>
        <w:snapToGrid/>
        <w:spacing w:line="576" w:lineRule="exact"/>
        <w:textAlignment w:val="auto"/>
        <w:rPr>
          <w:rFonts w:hint="default" w:ascii="Times New Roman" w:hAnsi="Times New Roman" w:cs="Times New Roman"/>
          <w:sz w:val="32"/>
          <w:szCs w:val="32"/>
          <w:highlight w:val="none"/>
        </w:rPr>
      </w:pPr>
    </w:p>
    <w:p w14:paraId="47FBF5D4">
      <w:pPr>
        <w:widowControl w:val="0"/>
        <w:spacing w:line="560" w:lineRule="exact"/>
        <w:ind w:left="0" w:leftChars="0" w:firstLine="0" w:firstLineChars="0"/>
        <w:jc w:val="left"/>
        <w:rPr>
          <w:sz w:val="32"/>
          <w:szCs w:val="32"/>
        </w:rPr>
      </w:pPr>
      <w:r>
        <w:rPr>
          <w:rFonts w:hint="eastAsia" w:cs="Times New Roman"/>
          <w:sz w:val="32"/>
        </w:rPr>
        <w:t>江门市蓬江区农业农村和水利局</w:t>
      </w:r>
      <w:r>
        <w:rPr>
          <w:rFonts w:hint="eastAsia"/>
          <w:sz w:val="32"/>
          <w:szCs w:val="32"/>
        </w:rPr>
        <w:t xml:space="preserve">    </w:t>
      </w:r>
      <w:r>
        <w:rPr>
          <w:rFonts w:hint="eastAsia"/>
          <w:sz w:val="32"/>
          <w:szCs w:val="32"/>
          <w:lang w:val="en-US" w:eastAsia="zh-CN"/>
        </w:rPr>
        <w:t xml:space="preserve"> </w:t>
      </w:r>
      <w:r>
        <w:rPr>
          <w:rFonts w:hint="eastAsia"/>
          <w:sz w:val="32"/>
          <w:szCs w:val="32"/>
        </w:rPr>
        <w:t>江门市蓬江区财政局</w:t>
      </w:r>
    </w:p>
    <w:p w14:paraId="64737CBA">
      <w:pPr>
        <w:widowControl w:val="0"/>
        <w:ind w:firstLine="0" w:firstLineChars="0"/>
        <w:jc w:val="center"/>
      </w:pPr>
      <w:r>
        <w:rPr>
          <w:rFonts w:hint="eastAsia" w:cs="Times New Roman"/>
          <w:sz w:val="32"/>
        </w:rPr>
        <w:t>2024</w:t>
      </w:r>
      <w:r>
        <w:rPr>
          <w:rFonts w:hint="eastAsia"/>
          <w:sz w:val="32"/>
          <w:szCs w:val="32"/>
        </w:rPr>
        <w:t>年</w:t>
      </w:r>
      <w:r>
        <w:rPr>
          <w:rFonts w:hint="eastAsia" w:cs="Times New Roman"/>
          <w:sz w:val="32"/>
        </w:rPr>
        <w:t>6</w:t>
      </w:r>
      <w:r>
        <w:rPr>
          <w:rFonts w:hint="eastAsia"/>
          <w:sz w:val="32"/>
          <w:szCs w:val="32"/>
        </w:rPr>
        <w:t>月</w:t>
      </w:r>
      <w:r>
        <w:rPr>
          <w:rFonts w:hint="eastAsia" w:cs="Times New Roman"/>
          <w:sz w:val="32"/>
        </w:rPr>
        <w:t>1</w:t>
      </w:r>
      <w:r>
        <w:rPr>
          <w:rFonts w:hint="eastAsia" w:cs="Times New Roman"/>
          <w:sz w:val="32"/>
          <w:lang w:val="en-US" w:eastAsia="zh-CN"/>
        </w:rPr>
        <w:t>8</w:t>
      </w:r>
      <w:r>
        <w:rPr>
          <w:rFonts w:hint="eastAsia"/>
          <w:sz w:val="32"/>
          <w:szCs w:val="32"/>
        </w:rPr>
        <w:t>日</w:t>
      </w:r>
    </w:p>
    <w:p w14:paraId="15F4575D">
      <w:pPr>
        <w:pStyle w:val="2"/>
        <w:rPr>
          <w:rFonts w:hint="default" w:ascii="Times New Roman" w:hAnsi="Times New Roman" w:cs="Times New Roman"/>
          <w:sz w:val="32"/>
          <w:szCs w:val="32"/>
          <w:highlight w:val="none"/>
        </w:rPr>
      </w:pPr>
    </w:p>
    <w:p w14:paraId="36C15CF7">
      <w:pPr>
        <w:pStyle w:val="2"/>
        <w:rPr>
          <w:rFonts w:hint="default" w:ascii="Times New Roman" w:hAnsi="Times New Roman" w:cs="Times New Roman"/>
          <w:sz w:val="32"/>
          <w:szCs w:val="32"/>
          <w:highlight w:val="none"/>
        </w:rPr>
      </w:pPr>
    </w:p>
    <w:sectPr>
      <w:headerReference r:id="rId11" w:type="default"/>
      <w:footerReference r:id="rId12" w:type="default"/>
      <w:pgSz w:w="11906" w:h="16838"/>
      <w:pgMar w:top="1440" w:right="1800" w:bottom="1440" w:left="1800" w:header="851" w:footer="850" w:gutter="0"/>
      <w:cols w:space="425" w:num="1"/>
      <w:docGrid w:type="lines"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汉仪平安行粗简">
    <w:altName w:val="微软雅黑"/>
    <w:panose1 w:val="00000000000000000000"/>
    <w:charset w:val="86"/>
    <w:family w:val="auto"/>
    <w:pitch w:val="default"/>
    <w:sig w:usb0="00000000" w:usb1="00000000" w:usb2="00000016"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9776"/>
    </w:sdtPr>
    <w:sdtEndPr>
      <w:rPr>
        <w:rFonts w:cs="Times New Roman"/>
        <w:sz w:val="20"/>
        <w:szCs w:val="20"/>
      </w:rPr>
    </w:sdtEndPr>
    <w:sdtContent>
      <w:p w14:paraId="0BC762CB">
        <w:pPr>
          <w:pStyle w:val="8"/>
          <w:ind w:firstLine="0" w:firstLineChars="0"/>
          <w:jc w:val="center"/>
          <w:rPr>
            <w:rFonts w:cs="Times New Roman"/>
            <w:sz w:val="20"/>
            <w:szCs w:val="20"/>
          </w:rPr>
        </w:pPr>
        <w:r>
          <w:rPr>
            <w:rFonts w:cs="Times New Roman"/>
            <w:sz w:val="20"/>
            <w:szCs w:val="20"/>
          </w:rPr>
          <w:fldChar w:fldCharType="begin"/>
        </w:r>
        <w:r>
          <w:rPr>
            <w:rFonts w:cs="Times New Roman"/>
            <w:sz w:val="20"/>
            <w:szCs w:val="20"/>
          </w:rPr>
          <w:instrText xml:space="preserve">PAGE   \* MERGEFORMAT</w:instrText>
        </w:r>
        <w:r>
          <w:rPr>
            <w:rFonts w:cs="Times New Roman"/>
            <w:sz w:val="20"/>
            <w:szCs w:val="20"/>
          </w:rPr>
          <w:fldChar w:fldCharType="separate"/>
        </w:r>
        <w:r>
          <w:rPr>
            <w:rFonts w:cs="Times New Roman"/>
            <w:sz w:val="20"/>
            <w:szCs w:val="20"/>
            <w:lang w:val="zh-CN"/>
          </w:rPr>
          <w:t>7</w:t>
        </w:r>
        <w:r>
          <w:rPr>
            <w:rFonts w:cs="Times New Roman"/>
            <w:sz w:val="20"/>
            <w:szCs w:val="20"/>
          </w:rPr>
          <w:fldChar w:fldCharType="end"/>
        </w:r>
      </w:p>
    </w:sdtContent>
  </w:sdt>
  <w:p w14:paraId="3491DFBB">
    <w:pPr>
      <w:pStyle w:val="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5744">
    <w:pPr>
      <w:pStyle w:val="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BA6730">
    <w:pPr>
      <w:pStyle w:val="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rFonts w:cs="Times New Roman"/>
        <w:sz w:val="20"/>
        <w:szCs w:val="20"/>
      </w:rPr>
    </w:sdtEndPr>
    <w:sdtContent>
      <w:p w14:paraId="215AAFCB">
        <w:pPr>
          <w:pStyle w:val="8"/>
          <w:ind w:firstLine="0" w:firstLineChars="0"/>
          <w:jc w:val="center"/>
          <w:rPr>
            <w:rFonts w:cs="Times New Roman"/>
            <w:sz w:val="20"/>
            <w:szCs w:val="20"/>
          </w:rPr>
        </w:pPr>
        <w:r>
          <w:rPr>
            <w:rFonts w:cs="Times New Roman"/>
            <w:sz w:val="20"/>
            <w:szCs w:val="20"/>
          </w:rPr>
          <w:fldChar w:fldCharType="begin"/>
        </w:r>
        <w:r>
          <w:rPr>
            <w:rFonts w:cs="Times New Roman"/>
            <w:sz w:val="20"/>
            <w:szCs w:val="20"/>
          </w:rPr>
          <w:instrText xml:space="preserve">PAGE   \* MERGEFORMAT</w:instrText>
        </w:r>
        <w:r>
          <w:rPr>
            <w:rFonts w:cs="Times New Roman"/>
            <w:sz w:val="20"/>
            <w:szCs w:val="20"/>
          </w:rPr>
          <w:fldChar w:fldCharType="separate"/>
        </w:r>
        <w:r>
          <w:rPr>
            <w:rFonts w:cs="Times New Roman"/>
            <w:sz w:val="20"/>
            <w:szCs w:val="20"/>
            <w:lang w:val="zh-CN"/>
          </w:rPr>
          <w:t>7</w:t>
        </w:r>
        <w:r>
          <w:rPr>
            <w:rFonts w:cs="Times New Roman"/>
            <w:sz w:val="20"/>
            <w:szCs w:val="20"/>
          </w:rPr>
          <w:fldChar w:fldCharType="end"/>
        </w:r>
      </w:p>
    </w:sdtContent>
  </w:sdt>
  <w:p w14:paraId="6EA63F33">
    <w:pPr>
      <w:pStyle w:val="8"/>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CEA856">
    <w:pPr>
      <w:pStyle w:val="9"/>
      <w:pBdr>
        <w:bottom w:val="none" w:color="auto" w:sz="0" w:space="0"/>
      </w:pBdr>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551A11">
    <w:pPr>
      <w:pStyle w:val="9"/>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FF48C">
    <w:pPr>
      <w:pStyle w:val="9"/>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071FE2">
    <w:pPr>
      <w:pStyle w:val="9"/>
      <w:pBdr>
        <w:bottom w:val="none" w:color="auto" w:sz="0" w:space="0"/>
      </w:pBdr>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40"/>
  <w:drawingGridVerticalSpacing w:val="381"/>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FlOTFkNjEwMzQxYmMxMWIzNWJkODgzMTgyNmQ1M2YifQ=="/>
    <w:docVar w:name="KSO_WPS_MARK_KEY" w:val="5fa36719-ccdd-4049-8d18-fbc74bf8f5c1"/>
  </w:docVars>
  <w:rsids>
    <w:rsidRoot w:val="009A6E08"/>
    <w:rsid w:val="00012364"/>
    <w:rsid w:val="00014CAD"/>
    <w:rsid w:val="00020CF5"/>
    <w:rsid w:val="00027DF4"/>
    <w:rsid w:val="00032F9B"/>
    <w:rsid w:val="0003365D"/>
    <w:rsid w:val="00055853"/>
    <w:rsid w:val="000575FB"/>
    <w:rsid w:val="000579CF"/>
    <w:rsid w:val="000601F2"/>
    <w:rsid w:val="00061B72"/>
    <w:rsid w:val="00064AA3"/>
    <w:rsid w:val="00086883"/>
    <w:rsid w:val="00090FC7"/>
    <w:rsid w:val="000C5C46"/>
    <w:rsid w:val="000E37FA"/>
    <w:rsid w:val="000E4C6C"/>
    <w:rsid w:val="000F4B3E"/>
    <w:rsid w:val="00103C6E"/>
    <w:rsid w:val="0012057E"/>
    <w:rsid w:val="00123A17"/>
    <w:rsid w:val="00135D86"/>
    <w:rsid w:val="00140681"/>
    <w:rsid w:val="00147044"/>
    <w:rsid w:val="00162E19"/>
    <w:rsid w:val="00170459"/>
    <w:rsid w:val="0018340E"/>
    <w:rsid w:val="001859AF"/>
    <w:rsid w:val="001876C3"/>
    <w:rsid w:val="00194F66"/>
    <w:rsid w:val="001A647E"/>
    <w:rsid w:val="001B4882"/>
    <w:rsid w:val="001B6CC5"/>
    <w:rsid w:val="001D0AF8"/>
    <w:rsid w:val="001F1307"/>
    <w:rsid w:val="00200B6E"/>
    <w:rsid w:val="00220EF5"/>
    <w:rsid w:val="00240DE9"/>
    <w:rsid w:val="0026291A"/>
    <w:rsid w:val="00287D33"/>
    <w:rsid w:val="00293FF6"/>
    <w:rsid w:val="002B3445"/>
    <w:rsid w:val="002C1F1F"/>
    <w:rsid w:val="002C2938"/>
    <w:rsid w:val="002C4D7B"/>
    <w:rsid w:val="002C750C"/>
    <w:rsid w:val="002D2F44"/>
    <w:rsid w:val="002D40FB"/>
    <w:rsid w:val="002E70F3"/>
    <w:rsid w:val="002E76AF"/>
    <w:rsid w:val="002F32E7"/>
    <w:rsid w:val="00320AD9"/>
    <w:rsid w:val="0032648B"/>
    <w:rsid w:val="00332111"/>
    <w:rsid w:val="00361597"/>
    <w:rsid w:val="003B77D6"/>
    <w:rsid w:val="0047288E"/>
    <w:rsid w:val="00480286"/>
    <w:rsid w:val="00480D9A"/>
    <w:rsid w:val="004A0BFA"/>
    <w:rsid w:val="004A3DCD"/>
    <w:rsid w:val="004C3032"/>
    <w:rsid w:val="004C51DE"/>
    <w:rsid w:val="004E6ED3"/>
    <w:rsid w:val="00511077"/>
    <w:rsid w:val="0051714F"/>
    <w:rsid w:val="0053068F"/>
    <w:rsid w:val="00535F81"/>
    <w:rsid w:val="00537431"/>
    <w:rsid w:val="00544610"/>
    <w:rsid w:val="0054672D"/>
    <w:rsid w:val="00550698"/>
    <w:rsid w:val="00551F0F"/>
    <w:rsid w:val="00564C56"/>
    <w:rsid w:val="005746E9"/>
    <w:rsid w:val="00576F5D"/>
    <w:rsid w:val="00584ADC"/>
    <w:rsid w:val="005D1171"/>
    <w:rsid w:val="005D2092"/>
    <w:rsid w:val="005D7D1C"/>
    <w:rsid w:val="005E6875"/>
    <w:rsid w:val="00616078"/>
    <w:rsid w:val="006201A8"/>
    <w:rsid w:val="00622CC1"/>
    <w:rsid w:val="00624AE3"/>
    <w:rsid w:val="00653819"/>
    <w:rsid w:val="00665CA8"/>
    <w:rsid w:val="006967D9"/>
    <w:rsid w:val="006B4EEE"/>
    <w:rsid w:val="006C2B9E"/>
    <w:rsid w:val="006D62D8"/>
    <w:rsid w:val="006D62E0"/>
    <w:rsid w:val="006F6B35"/>
    <w:rsid w:val="007145BC"/>
    <w:rsid w:val="00720B2B"/>
    <w:rsid w:val="00725800"/>
    <w:rsid w:val="007455E6"/>
    <w:rsid w:val="007470F9"/>
    <w:rsid w:val="00753B8B"/>
    <w:rsid w:val="00763CA9"/>
    <w:rsid w:val="0079311F"/>
    <w:rsid w:val="007B3836"/>
    <w:rsid w:val="007B7137"/>
    <w:rsid w:val="007D5885"/>
    <w:rsid w:val="007F191A"/>
    <w:rsid w:val="007F3550"/>
    <w:rsid w:val="007F4374"/>
    <w:rsid w:val="007F7064"/>
    <w:rsid w:val="008410A9"/>
    <w:rsid w:val="008462F8"/>
    <w:rsid w:val="00863BE8"/>
    <w:rsid w:val="008804D7"/>
    <w:rsid w:val="0088423B"/>
    <w:rsid w:val="008A1303"/>
    <w:rsid w:val="008B7E7F"/>
    <w:rsid w:val="008C2580"/>
    <w:rsid w:val="008D020F"/>
    <w:rsid w:val="008D3C72"/>
    <w:rsid w:val="008F27AB"/>
    <w:rsid w:val="008F6BA1"/>
    <w:rsid w:val="00906786"/>
    <w:rsid w:val="009071A1"/>
    <w:rsid w:val="00924E67"/>
    <w:rsid w:val="009700E5"/>
    <w:rsid w:val="00980EEE"/>
    <w:rsid w:val="0098135E"/>
    <w:rsid w:val="00986426"/>
    <w:rsid w:val="00992822"/>
    <w:rsid w:val="009A2B21"/>
    <w:rsid w:val="009A6A85"/>
    <w:rsid w:val="009A6E08"/>
    <w:rsid w:val="009E5135"/>
    <w:rsid w:val="009F3904"/>
    <w:rsid w:val="00A021BD"/>
    <w:rsid w:val="00A101DB"/>
    <w:rsid w:val="00A173DB"/>
    <w:rsid w:val="00A30CD6"/>
    <w:rsid w:val="00A3771F"/>
    <w:rsid w:val="00A405B4"/>
    <w:rsid w:val="00A411D4"/>
    <w:rsid w:val="00A839F6"/>
    <w:rsid w:val="00A9324C"/>
    <w:rsid w:val="00AA5432"/>
    <w:rsid w:val="00AA7A7D"/>
    <w:rsid w:val="00AB3D78"/>
    <w:rsid w:val="00AD2D32"/>
    <w:rsid w:val="00AD6CF4"/>
    <w:rsid w:val="00AE6DAE"/>
    <w:rsid w:val="00AF39A7"/>
    <w:rsid w:val="00B00E06"/>
    <w:rsid w:val="00B00FB1"/>
    <w:rsid w:val="00B01FF2"/>
    <w:rsid w:val="00B04388"/>
    <w:rsid w:val="00B07DAB"/>
    <w:rsid w:val="00B33A0E"/>
    <w:rsid w:val="00B37457"/>
    <w:rsid w:val="00B42BB4"/>
    <w:rsid w:val="00B53C28"/>
    <w:rsid w:val="00B5681B"/>
    <w:rsid w:val="00B8383C"/>
    <w:rsid w:val="00B921F3"/>
    <w:rsid w:val="00B97A4A"/>
    <w:rsid w:val="00BA2FDB"/>
    <w:rsid w:val="00BC02B7"/>
    <w:rsid w:val="00BC16B7"/>
    <w:rsid w:val="00BD0B3A"/>
    <w:rsid w:val="00BF3C9D"/>
    <w:rsid w:val="00BF781C"/>
    <w:rsid w:val="00C00315"/>
    <w:rsid w:val="00C21900"/>
    <w:rsid w:val="00C260B2"/>
    <w:rsid w:val="00C41FE0"/>
    <w:rsid w:val="00C513CE"/>
    <w:rsid w:val="00C570C4"/>
    <w:rsid w:val="00C717FA"/>
    <w:rsid w:val="00C82E25"/>
    <w:rsid w:val="00C852F3"/>
    <w:rsid w:val="00C92839"/>
    <w:rsid w:val="00C92DA1"/>
    <w:rsid w:val="00CA0337"/>
    <w:rsid w:val="00CA635E"/>
    <w:rsid w:val="00CC295C"/>
    <w:rsid w:val="00CD4192"/>
    <w:rsid w:val="00CF55D4"/>
    <w:rsid w:val="00D04052"/>
    <w:rsid w:val="00D1438F"/>
    <w:rsid w:val="00D36C99"/>
    <w:rsid w:val="00D40A7F"/>
    <w:rsid w:val="00D74B44"/>
    <w:rsid w:val="00D814D9"/>
    <w:rsid w:val="00D851BC"/>
    <w:rsid w:val="00D85338"/>
    <w:rsid w:val="00D86267"/>
    <w:rsid w:val="00D90A4F"/>
    <w:rsid w:val="00D9111D"/>
    <w:rsid w:val="00D93C25"/>
    <w:rsid w:val="00D979D1"/>
    <w:rsid w:val="00DC3D04"/>
    <w:rsid w:val="00DC6435"/>
    <w:rsid w:val="00DD476D"/>
    <w:rsid w:val="00DF0146"/>
    <w:rsid w:val="00DF420B"/>
    <w:rsid w:val="00DF5A11"/>
    <w:rsid w:val="00DF6B9C"/>
    <w:rsid w:val="00E016A9"/>
    <w:rsid w:val="00E12F40"/>
    <w:rsid w:val="00E25971"/>
    <w:rsid w:val="00E5507C"/>
    <w:rsid w:val="00E55B53"/>
    <w:rsid w:val="00E62C8B"/>
    <w:rsid w:val="00E661E0"/>
    <w:rsid w:val="00E747D2"/>
    <w:rsid w:val="00E94D32"/>
    <w:rsid w:val="00EA099F"/>
    <w:rsid w:val="00EA3DD1"/>
    <w:rsid w:val="00EA6591"/>
    <w:rsid w:val="00EA7515"/>
    <w:rsid w:val="00EC3DB7"/>
    <w:rsid w:val="00ED1286"/>
    <w:rsid w:val="00EE1BBD"/>
    <w:rsid w:val="00EF76FC"/>
    <w:rsid w:val="00F010AB"/>
    <w:rsid w:val="00F03039"/>
    <w:rsid w:val="00F0409D"/>
    <w:rsid w:val="00F04C8E"/>
    <w:rsid w:val="00F057BF"/>
    <w:rsid w:val="00F10363"/>
    <w:rsid w:val="00F13170"/>
    <w:rsid w:val="00F22DF1"/>
    <w:rsid w:val="00F35E5F"/>
    <w:rsid w:val="00F5028C"/>
    <w:rsid w:val="00F76FB4"/>
    <w:rsid w:val="00F97F7B"/>
    <w:rsid w:val="00FC00DB"/>
    <w:rsid w:val="00FC15FE"/>
    <w:rsid w:val="00FD281B"/>
    <w:rsid w:val="01193612"/>
    <w:rsid w:val="015920E6"/>
    <w:rsid w:val="01822573"/>
    <w:rsid w:val="018A3842"/>
    <w:rsid w:val="01937F78"/>
    <w:rsid w:val="026C34CF"/>
    <w:rsid w:val="02D8427D"/>
    <w:rsid w:val="03222CFC"/>
    <w:rsid w:val="034F108D"/>
    <w:rsid w:val="0350044F"/>
    <w:rsid w:val="03744328"/>
    <w:rsid w:val="03FF4273"/>
    <w:rsid w:val="041D1575"/>
    <w:rsid w:val="047D3609"/>
    <w:rsid w:val="04D57FCB"/>
    <w:rsid w:val="04DA26C6"/>
    <w:rsid w:val="04E07226"/>
    <w:rsid w:val="04FD3EA8"/>
    <w:rsid w:val="05141549"/>
    <w:rsid w:val="0575419C"/>
    <w:rsid w:val="05926AFC"/>
    <w:rsid w:val="05967AD2"/>
    <w:rsid w:val="059A7B4A"/>
    <w:rsid w:val="0633633C"/>
    <w:rsid w:val="06825BC9"/>
    <w:rsid w:val="06AC5B1C"/>
    <w:rsid w:val="06D6582D"/>
    <w:rsid w:val="074327A4"/>
    <w:rsid w:val="076931F2"/>
    <w:rsid w:val="07727F9D"/>
    <w:rsid w:val="07CC31AE"/>
    <w:rsid w:val="07F824A4"/>
    <w:rsid w:val="083E68C5"/>
    <w:rsid w:val="08871E43"/>
    <w:rsid w:val="09324E46"/>
    <w:rsid w:val="09982BFC"/>
    <w:rsid w:val="0AFB3396"/>
    <w:rsid w:val="0B1D595D"/>
    <w:rsid w:val="0BB439CE"/>
    <w:rsid w:val="0BBB283E"/>
    <w:rsid w:val="0BC522E1"/>
    <w:rsid w:val="0BD50717"/>
    <w:rsid w:val="0C4A6663"/>
    <w:rsid w:val="0C6F1945"/>
    <w:rsid w:val="0C807FF6"/>
    <w:rsid w:val="0CEF7536"/>
    <w:rsid w:val="0D097FEC"/>
    <w:rsid w:val="0D64139E"/>
    <w:rsid w:val="0D846A01"/>
    <w:rsid w:val="0DF91C78"/>
    <w:rsid w:val="0E757408"/>
    <w:rsid w:val="0EB421D9"/>
    <w:rsid w:val="0F073C1A"/>
    <w:rsid w:val="0F3F455E"/>
    <w:rsid w:val="0F440203"/>
    <w:rsid w:val="0FEA52E3"/>
    <w:rsid w:val="100F76F7"/>
    <w:rsid w:val="1046316E"/>
    <w:rsid w:val="10E2302E"/>
    <w:rsid w:val="112F5DC6"/>
    <w:rsid w:val="11442A1C"/>
    <w:rsid w:val="116E0688"/>
    <w:rsid w:val="117D5443"/>
    <w:rsid w:val="11B14807"/>
    <w:rsid w:val="122F2FB1"/>
    <w:rsid w:val="13150D4A"/>
    <w:rsid w:val="13182DBA"/>
    <w:rsid w:val="137F251B"/>
    <w:rsid w:val="13A41BEE"/>
    <w:rsid w:val="13B50586"/>
    <w:rsid w:val="14642796"/>
    <w:rsid w:val="14796B5C"/>
    <w:rsid w:val="147C72F5"/>
    <w:rsid w:val="149C7E7B"/>
    <w:rsid w:val="150572EB"/>
    <w:rsid w:val="152466FE"/>
    <w:rsid w:val="155344FA"/>
    <w:rsid w:val="15CC7E09"/>
    <w:rsid w:val="15FD3544"/>
    <w:rsid w:val="161552E4"/>
    <w:rsid w:val="165C1932"/>
    <w:rsid w:val="176ED3B0"/>
    <w:rsid w:val="18491BE4"/>
    <w:rsid w:val="18565113"/>
    <w:rsid w:val="1869193F"/>
    <w:rsid w:val="18860743"/>
    <w:rsid w:val="19017DC9"/>
    <w:rsid w:val="19024489"/>
    <w:rsid w:val="1903037F"/>
    <w:rsid w:val="19855AE2"/>
    <w:rsid w:val="198C1D89"/>
    <w:rsid w:val="19B555A2"/>
    <w:rsid w:val="19D74311"/>
    <w:rsid w:val="1A136006"/>
    <w:rsid w:val="1A6A6422"/>
    <w:rsid w:val="1AC57FE8"/>
    <w:rsid w:val="1AE87493"/>
    <w:rsid w:val="1B281F85"/>
    <w:rsid w:val="1B740D26"/>
    <w:rsid w:val="1BB402D3"/>
    <w:rsid w:val="1BFF6542"/>
    <w:rsid w:val="1C99052B"/>
    <w:rsid w:val="1C9B0535"/>
    <w:rsid w:val="1DDB526E"/>
    <w:rsid w:val="1DF93765"/>
    <w:rsid w:val="1E443D14"/>
    <w:rsid w:val="1ECC2C27"/>
    <w:rsid w:val="1F132604"/>
    <w:rsid w:val="1F2E3668"/>
    <w:rsid w:val="1F406AD1"/>
    <w:rsid w:val="1F5275D0"/>
    <w:rsid w:val="1F685F22"/>
    <w:rsid w:val="1FCD4EA9"/>
    <w:rsid w:val="201C27ED"/>
    <w:rsid w:val="20857532"/>
    <w:rsid w:val="20DC0484"/>
    <w:rsid w:val="20E74DDD"/>
    <w:rsid w:val="216211D7"/>
    <w:rsid w:val="220B6F2C"/>
    <w:rsid w:val="222D1C2F"/>
    <w:rsid w:val="22C84F8D"/>
    <w:rsid w:val="22D022F0"/>
    <w:rsid w:val="22DA3996"/>
    <w:rsid w:val="23DD17FD"/>
    <w:rsid w:val="24174945"/>
    <w:rsid w:val="24374FE7"/>
    <w:rsid w:val="24451E5A"/>
    <w:rsid w:val="24747FE9"/>
    <w:rsid w:val="24E448AE"/>
    <w:rsid w:val="2530675C"/>
    <w:rsid w:val="256D6D6E"/>
    <w:rsid w:val="25BF5294"/>
    <w:rsid w:val="25C64874"/>
    <w:rsid w:val="25F80DA5"/>
    <w:rsid w:val="264B2F4F"/>
    <w:rsid w:val="26DF1527"/>
    <w:rsid w:val="270A409B"/>
    <w:rsid w:val="273EA3FA"/>
    <w:rsid w:val="274D7C1E"/>
    <w:rsid w:val="277478D6"/>
    <w:rsid w:val="27B80671"/>
    <w:rsid w:val="27CE13B1"/>
    <w:rsid w:val="27F17147"/>
    <w:rsid w:val="281125F8"/>
    <w:rsid w:val="2829733C"/>
    <w:rsid w:val="284658F9"/>
    <w:rsid w:val="295B0EBB"/>
    <w:rsid w:val="296217ED"/>
    <w:rsid w:val="299566CF"/>
    <w:rsid w:val="29D16BA7"/>
    <w:rsid w:val="29DB7CAB"/>
    <w:rsid w:val="2A7617D4"/>
    <w:rsid w:val="2A9067BA"/>
    <w:rsid w:val="2B413A38"/>
    <w:rsid w:val="2B7B3A0B"/>
    <w:rsid w:val="2B874618"/>
    <w:rsid w:val="2C04131F"/>
    <w:rsid w:val="2C621B48"/>
    <w:rsid w:val="2C917355"/>
    <w:rsid w:val="2CA174A1"/>
    <w:rsid w:val="2D5029C5"/>
    <w:rsid w:val="2DD70495"/>
    <w:rsid w:val="2E093550"/>
    <w:rsid w:val="2E1E3111"/>
    <w:rsid w:val="2E626B37"/>
    <w:rsid w:val="2E6D6953"/>
    <w:rsid w:val="2E6F1F27"/>
    <w:rsid w:val="2E762EA5"/>
    <w:rsid w:val="2ECB1549"/>
    <w:rsid w:val="2F715551"/>
    <w:rsid w:val="2F8A09E3"/>
    <w:rsid w:val="3135465C"/>
    <w:rsid w:val="31607AD2"/>
    <w:rsid w:val="31B77767"/>
    <w:rsid w:val="3244135A"/>
    <w:rsid w:val="32B36180"/>
    <w:rsid w:val="32BD06A1"/>
    <w:rsid w:val="333170A5"/>
    <w:rsid w:val="333F5C66"/>
    <w:rsid w:val="3436680F"/>
    <w:rsid w:val="34F5496E"/>
    <w:rsid w:val="3529097C"/>
    <w:rsid w:val="35AB7BFD"/>
    <w:rsid w:val="35BC55F9"/>
    <w:rsid w:val="35BF00D7"/>
    <w:rsid w:val="35F5B138"/>
    <w:rsid w:val="360A7CD9"/>
    <w:rsid w:val="362C0724"/>
    <w:rsid w:val="3659703F"/>
    <w:rsid w:val="3676374D"/>
    <w:rsid w:val="36CE4690"/>
    <w:rsid w:val="37FF7BB0"/>
    <w:rsid w:val="38A95BD3"/>
    <w:rsid w:val="38F5161A"/>
    <w:rsid w:val="39100E27"/>
    <w:rsid w:val="39627859"/>
    <w:rsid w:val="39E73B05"/>
    <w:rsid w:val="3A23680A"/>
    <w:rsid w:val="3AC74DF5"/>
    <w:rsid w:val="3ADA503E"/>
    <w:rsid w:val="3B057795"/>
    <w:rsid w:val="3B7168B3"/>
    <w:rsid w:val="3BD6594A"/>
    <w:rsid w:val="3C017DF2"/>
    <w:rsid w:val="3C076D5A"/>
    <w:rsid w:val="3CA803D8"/>
    <w:rsid w:val="3D430613"/>
    <w:rsid w:val="3D7E738B"/>
    <w:rsid w:val="3DC824ED"/>
    <w:rsid w:val="3DEE05E6"/>
    <w:rsid w:val="3DF8538F"/>
    <w:rsid w:val="3E652EB1"/>
    <w:rsid w:val="3EB178A5"/>
    <w:rsid w:val="3F152F21"/>
    <w:rsid w:val="3F315A70"/>
    <w:rsid w:val="3F60539C"/>
    <w:rsid w:val="3F744613"/>
    <w:rsid w:val="3FBF6165"/>
    <w:rsid w:val="3FDB1DF4"/>
    <w:rsid w:val="3FF35E0E"/>
    <w:rsid w:val="406E36E7"/>
    <w:rsid w:val="412473B6"/>
    <w:rsid w:val="41874E7F"/>
    <w:rsid w:val="424336D6"/>
    <w:rsid w:val="42491FCA"/>
    <w:rsid w:val="427D102F"/>
    <w:rsid w:val="427D5E63"/>
    <w:rsid w:val="42827D7B"/>
    <w:rsid w:val="42894808"/>
    <w:rsid w:val="428C433E"/>
    <w:rsid w:val="43002288"/>
    <w:rsid w:val="432232ED"/>
    <w:rsid w:val="434B7D0F"/>
    <w:rsid w:val="434E52EB"/>
    <w:rsid w:val="43A7763B"/>
    <w:rsid w:val="43C13D4B"/>
    <w:rsid w:val="44715C79"/>
    <w:rsid w:val="44F7014F"/>
    <w:rsid w:val="457B2B2E"/>
    <w:rsid w:val="457D7C55"/>
    <w:rsid w:val="45855270"/>
    <w:rsid w:val="45B1505C"/>
    <w:rsid w:val="45C13FDA"/>
    <w:rsid w:val="46127979"/>
    <w:rsid w:val="465C31AE"/>
    <w:rsid w:val="47164D4B"/>
    <w:rsid w:val="474B266A"/>
    <w:rsid w:val="47E32C0C"/>
    <w:rsid w:val="482D7548"/>
    <w:rsid w:val="487B1097"/>
    <w:rsid w:val="48991920"/>
    <w:rsid w:val="48DA31D6"/>
    <w:rsid w:val="49003E49"/>
    <w:rsid w:val="49DB003F"/>
    <w:rsid w:val="49DE143B"/>
    <w:rsid w:val="4A307CE2"/>
    <w:rsid w:val="4A735D68"/>
    <w:rsid w:val="4AFA6B37"/>
    <w:rsid w:val="4B2A0F6D"/>
    <w:rsid w:val="4B4D6D1A"/>
    <w:rsid w:val="4B7D7CDD"/>
    <w:rsid w:val="4BBE3774"/>
    <w:rsid w:val="4C2E5100"/>
    <w:rsid w:val="4C310C5B"/>
    <w:rsid w:val="4C313A81"/>
    <w:rsid w:val="4DEC1C64"/>
    <w:rsid w:val="4DF051A4"/>
    <w:rsid w:val="4E197388"/>
    <w:rsid w:val="4E1A6C5C"/>
    <w:rsid w:val="4E4E4320"/>
    <w:rsid w:val="4F3A4948"/>
    <w:rsid w:val="4F542EE9"/>
    <w:rsid w:val="4FB235F0"/>
    <w:rsid w:val="4FBF732D"/>
    <w:rsid w:val="501043E3"/>
    <w:rsid w:val="50503F36"/>
    <w:rsid w:val="50815DA6"/>
    <w:rsid w:val="50E57F92"/>
    <w:rsid w:val="50F1639A"/>
    <w:rsid w:val="51142BE9"/>
    <w:rsid w:val="51540861"/>
    <w:rsid w:val="51597009"/>
    <w:rsid w:val="51962A9D"/>
    <w:rsid w:val="51A41AC8"/>
    <w:rsid w:val="51DD4378"/>
    <w:rsid w:val="521827F2"/>
    <w:rsid w:val="524D03AB"/>
    <w:rsid w:val="52500E9E"/>
    <w:rsid w:val="52D7511B"/>
    <w:rsid w:val="52FF3B12"/>
    <w:rsid w:val="536746F1"/>
    <w:rsid w:val="53DF552A"/>
    <w:rsid w:val="5422174F"/>
    <w:rsid w:val="54297BF9"/>
    <w:rsid w:val="548DEDA0"/>
    <w:rsid w:val="549B6FF0"/>
    <w:rsid w:val="54AB2D04"/>
    <w:rsid w:val="553A1ECA"/>
    <w:rsid w:val="5547156B"/>
    <w:rsid w:val="55562519"/>
    <w:rsid w:val="55727B3F"/>
    <w:rsid w:val="558C2A3A"/>
    <w:rsid w:val="55CE6CAA"/>
    <w:rsid w:val="56FE620B"/>
    <w:rsid w:val="572B4CD4"/>
    <w:rsid w:val="57750AEA"/>
    <w:rsid w:val="578C4726"/>
    <w:rsid w:val="57D8535D"/>
    <w:rsid w:val="588D3223"/>
    <w:rsid w:val="594B23BF"/>
    <w:rsid w:val="59722042"/>
    <w:rsid w:val="59A85938"/>
    <w:rsid w:val="5A756416"/>
    <w:rsid w:val="5A786312"/>
    <w:rsid w:val="5ABE537E"/>
    <w:rsid w:val="5B914A01"/>
    <w:rsid w:val="5BA54009"/>
    <w:rsid w:val="5BCF866F"/>
    <w:rsid w:val="5BF25739"/>
    <w:rsid w:val="5C2F21DC"/>
    <w:rsid w:val="5C787020"/>
    <w:rsid w:val="5C8E01AF"/>
    <w:rsid w:val="5CFD1C22"/>
    <w:rsid w:val="5D1C1431"/>
    <w:rsid w:val="5D4067EE"/>
    <w:rsid w:val="5D5A2E78"/>
    <w:rsid w:val="5D9B49EA"/>
    <w:rsid w:val="5DCD7847"/>
    <w:rsid w:val="5E637F4B"/>
    <w:rsid w:val="5EAD0666"/>
    <w:rsid w:val="5EE545D3"/>
    <w:rsid w:val="5F067D12"/>
    <w:rsid w:val="5F99201A"/>
    <w:rsid w:val="5FBBA2D6"/>
    <w:rsid w:val="607E3CB1"/>
    <w:rsid w:val="60A70D54"/>
    <w:rsid w:val="60E16353"/>
    <w:rsid w:val="60E45C7D"/>
    <w:rsid w:val="61406582"/>
    <w:rsid w:val="617E3C4B"/>
    <w:rsid w:val="61B56F70"/>
    <w:rsid w:val="62240310"/>
    <w:rsid w:val="62505904"/>
    <w:rsid w:val="625771C2"/>
    <w:rsid w:val="628F1EA4"/>
    <w:rsid w:val="62D006B2"/>
    <w:rsid w:val="62EE44E7"/>
    <w:rsid w:val="62F6339C"/>
    <w:rsid w:val="62F70158"/>
    <w:rsid w:val="63292EA3"/>
    <w:rsid w:val="634379A6"/>
    <w:rsid w:val="63545442"/>
    <w:rsid w:val="63660521"/>
    <w:rsid w:val="64CE13FE"/>
    <w:rsid w:val="65077DB2"/>
    <w:rsid w:val="65836D9F"/>
    <w:rsid w:val="65EB11B2"/>
    <w:rsid w:val="6663343E"/>
    <w:rsid w:val="66E45E12"/>
    <w:rsid w:val="673F17B5"/>
    <w:rsid w:val="674BFDEC"/>
    <w:rsid w:val="677551D7"/>
    <w:rsid w:val="67885216"/>
    <w:rsid w:val="68077DF9"/>
    <w:rsid w:val="686CEADB"/>
    <w:rsid w:val="68DB4B4A"/>
    <w:rsid w:val="69130898"/>
    <w:rsid w:val="69A43B52"/>
    <w:rsid w:val="69D106BF"/>
    <w:rsid w:val="6A5230E5"/>
    <w:rsid w:val="6A692012"/>
    <w:rsid w:val="6A771266"/>
    <w:rsid w:val="6A8D0A8A"/>
    <w:rsid w:val="6B596BBE"/>
    <w:rsid w:val="6B644105"/>
    <w:rsid w:val="6B834B9C"/>
    <w:rsid w:val="6BDE1106"/>
    <w:rsid w:val="6CED366B"/>
    <w:rsid w:val="6D00067B"/>
    <w:rsid w:val="6D02333A"/>
    <w:rsid w:val="6D105A88"/>
    <w:rsid w:val="6D254C02"/>
    <w:rsid w:val="6D9B28AF"/>
    <w:rsid w:val="6DC26528"/>
    <w:rsid w:val="6EAF8245"/>
    <w:rsid w:val="6ECC341A"/>
    <w:rsid w:val="6F93653C"/>
    <w:rsid w:val="6FE86762"/>
    <w:rsid w:val="6FFD3FBC"/>
    <w:rsid w:val="700D50E9"/>
    <w:rsid w:val="7012220E"/>
    <w:rsid w:val="70673B2B"/>
    <w:rsid w:val="708D2E28"/>
    <w:rsid w:val="710F6A7D"/>
    <w:rsid w:val="715F778A"/>
    <w:rsid w:val="718F6E95"/>
    <w:rsid w:val="71A359F0"/>
    <w:rsid w:val="722D2F68"/>
    <w:rsid w:val="727E58FA"/>
    <w:rsid w:val="72F821A6"/>
    <w:rsid w:val="733C7595"/>
    <w:rsid w:val="73551727"/>
    <w:rsid w:val="73816C76"/>
    <w:rsid w:val="73E07520"/>
    <w:rsid w:val="73F94F64"/>
    <w:rsid w:val="74FA6D1C"/>
    <w:rsid w:val="760904D0"/>
    <w:rsid w:val="762967E2"/>
    <w:rsid w:val="768720E9"/>
    <w:rsid w:val="76A91BA8"/>
    <w:rsid w:val="770F3635"/>
    <w:rsid w:val="771F2A69"/>
    <w:rsid w:val="773F3EF6"/>
    <w:rsid w:val="77603EAD"/>
    <w:rsid w:val="7770799C"/>
    <w:rsid w:val="7795704B"/>
    <w:rsid w:val="77C70B32"/>
    <w:rsid w:val="78CF529E"/>
    <w:rsid w:val="78E07656"/>
    <w:rsid w:val="79B576B5"/>
    <w:rsid w:val="79CE69C9"/>
    <w:rsid w:val="79E01222"/>
    <w:rsid w:val="7A0B4494"/>
    <w:rsid w:val="7AD90ED4"/>
    <w:rsid w:val="7B931C78"/>
    <w:rsid w:val="7BF05873"/>
    <w:rsid w:val="7C1F601A"/>
    <w:rsid w:val="7C23124E"/>
    <w:rsid w:val="7C6F7A9A"/>
    <w:rsid w:val="7C727896"/>
    <w:rsid w:val="7CB37E00"/>
    <w:rsid w:val="7CE516A3"/>
    <w:rsid w:val="7D1E37C3"/>
    <w:rsid w:val="7D676A9B"/>
    <w:rsid w:val="7D816BAC"/>
    <w:rsid w:val="7D823D52"/>
    <w:rsid w:val="7D99109C"/>
    <w:rsid w:val="7DEB5D9B"/>
    <w:rsid w:val="7EEC37A0"/>
    <w:rsid w:val="7F002CF6"/>
    <w:rsid w:val="7F934B69"/>
    <w:rsid w:val="7FFD3175"/>
    <w:rsid w:val="A9FC4370"/>
    <w:rsid w:val="B95E1FA8"/>
    <w:rsid w:val="BFFB2F4F"/>
    <w:rsid w:val="C7FE2301"/>
    <w:rsid w:val="C9736165"/>
    <w:rsid w:val="CFB732BE"/>
    <w:rsid w:val="D7FF866F"/>
    <w:rsid w:val="DBB78EF2"/>
    <w:rsid w:val="F3DFF33E"/>
    <w:rsid w:val="FFDF80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jc w:val="both"/>
    </w:pPr>
    <w:rPr>
      <w:rFonts w:ascii="Times New Roman" w:hAnsi="Times New Roman" w:eastAsia="仿宋_GB2312" w:cstheme="minorBidi"/>
      <w:kern w:val="2"/>
      <w:sz w:val="28"/>
      <w:szCs w:val="22"/>
      <w:lang w:val="en-US" w:eastAsia="zh-CN" w:bidi="ar-SA"/>
    </w:rPr>
  </w:style>
  <w:style w:type="paragraph" w:styleId="3">
    <w:name w:val="heading 1"/>
    <w:basedOn w:val="1"/>
    <w:next w:val="1"/>
    <w:link w:val="18"/>
    <w:qFormat/>
    <w:uiPriority w:val="9"/>
    <w:pPr>
      <w:keepNext/>
      <w:keepLines/>
      <w:outlineLvl w:val="0"/>
    </w:pPr>
    <w:rPr>
      <w:b/>
      <w:bCs/>
      <w:kern w:val="44"/>
      <w:szCs w:val="44"/>
    </w:rPr>
  </w:style>
  <w:style w:type="paragraph" w:styleId="4">
    <w:name w:val="heading 2"/>
    <w:basedOn w:val="1"/>
    <w:next w:val="1"/>
    <w:link w:val="19"/>
    <w:unhideWhenUsed/>
    <w:qFormat/>
    <w:uiPriority w:val="9"/>
    <w:pPr>
      <w:keepNext/>
      <w:keepLines/>
      <w:outlineLvl w:val="1"/>
    </w:pPr>
    <w:rPr>
      <w:rFonts w:cstheme="majorBidi"/>
      <w:bCs/>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5">
    <w:name w:val="Document Map"/>
    <w:basedOn w:val="1"/>
    <w:link w:val="29"/>
    <w:semiHidden/>
    <w:unhideWhenUsed/>
    <w:qFormat/>
    <w:uiPriority w:val="99"/>
    <w:rPr>
      <w:rFonts w:ascii="宋体" w:eastAsia="宋体"/>
      <w:sz w:val="18"/>
      <w:szCs w:val="18"/>
    </w:rPr>
  </w:style>
  <w:style w:type="paragraph" w:styleId="6">
    <w:name w:val="annotation text"/>
    <w:basedOn w:val="1"/>
    <w:link w:val="26"/>
    <w:unhideWhenUsed/>
    <w:qFormat/>
    <w:uiPriority w:val="99"/>
    <w:pPr>
      <w:jc w:val="left"/>
    </w:pPr>
  </w:style>
  <w:style w:type="paragraph" w:styleId="7">
    <w:name w:val="Balloon Text"/>
    <w:basedOn w:val="1"/>
    <w:link w:val="20"/>
    <w:unhideWhenUsed/>
    <w:qFormat/>
    <w:uiPriority w:val="99"/>
    <w:pPr>
      <w:spacing w:line="240" w:lineRule="auto"/>
    </w:pPr>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annotation subject"/>
    <w:basedOn w:val="6"/>
    <w:next w:val="6"/>
    <w:link w:val="27"/>
    <w:semiHidden/>
    <w:unhideWhenUsed/>
    <w:qFormat/>
    <w:uiPriority w:val="99"/>
    <w:rPr>
      <w:b/>
      <w:bCs/>
    </w:rPr>
  </w:style>
  <w:style w:type="paragraph" w:styleId="12">
    <w:name w:val="Body Text First Indent 2"/>
    <w:qFormat/>
    <w:uiPriority w:val="0"/>
    <w:pPr>
      <w:widowControl w:val="0"/>
      <w:spacing w:after="120"/>
      <w:ind w:left="200" w:leftChars="200" w:firstLine="200" w:firstLineChars="200"/>
      <w:jc w:val="both"/>
    </w:pPr>
    <w:rPr>
      <w:rFonts w:ascii="Calibri" w:hAnsi="Calibri" w:eastAsia="宋体" w:cs="Times New Roman"/>
      <w:kern w:val="2"/>
      <w:sz w:val="21"/>
      <w:szCs w:val="24"/>
      <w:lang w:val="en-US" w:eastAsia="zh-CN" w:bidi="ar-SA"/>
    </w:rPr>
  </w:style>
  <w:style w:type="character" w:styleId="15">
    <w:name w:val="annotation reference"/>
    <w:basedOn w:val="14"/>
    <w:semiHidden/>
    <w:unhideWhenUsed/>
    <w:qFormat/>
    <w:uiPriority w:val="99"/>
    <w:rPr>
      <w:sz w:val="21"/>
      <w:szCs w:val="21"/>
    </w:rPr>
  </w:style>
  <w:style w:type="character" w:customStyle="1" w:styleId="16">
    <w:name w:val="页眉 字符"/>
    <w:basedOn w:val="14"/>
    <w:link w:val="9"/>
    <w:qFormat/>
    <w:uiPriority w:val="99"/>
    <w:rPr>
      <w:sz w:val="18"/>
      <w:szCs w:val="18"/>
    </w:rPr>
  </w:style>
  <w:style w:type="character" w:customStyle="1" w:styleId="17">
    <w:name w:val="页脚 字符"/>
    <w:basedOn w:val="14"/>
    <w:link w:val="8"/>
    <w:qFormat/>
    <w:uiPriority w:val="99"/>
    <w:rPr>
      <w:sz w:val="18"/>
      <w:szCs w:val="18"/>
    </w:rPr>
  </w:style>
  <w:style w:type="character" w:customStyle="1" w:styleId="18">
    <w:name w:val="标题 1 字符"/>
    <w:basedOn w:val="14"/>
    <w:link w:val="3"/>
    <w:qFormat/>
    <w:uiPriority w:val="9"/>
    <w:rPr>
      <w:rFonts w:ascii="Times New Roman" w:hAnsi="Times New Roman" w:eastAsia="仿宋_GB2312"/>
      <w:b/>
      <w:bCs/>
      <w:kern w:val="44"/>
      <w:sz w:val="28"/>
      <w:szCs w:val="44"/>
    </w:rPr>
  </w:style>
  <w:style w:type="character" w:customStyle="1" w:styleId="19">
    <w:name w:val="标题 2 字符"/>
    <w:basedOn w:val="14"/>
    <w:link w:val="4"/>
    <w:qFormat/>
    <w:uiPriority w:val="9"/>
    <w:rPr>
      <w:rFonts w:ascii="Times New Roman" w:hAnsi="Times New Roman" w:eastAsia="仿宋_GB2312" w:cstheme="majorBidi"/>
      <w:bCs/>
      <w:sz w:val="28"/>
      <w:szCs w:val="32"/>
    </w:rPr>
  </w:style>
  <w:style w:type="character" w:customStyle="1" w:styleId="20">
    <w:name w:val="批注框文本 字符"/>
    <w:basedOn w:val="14"/>
    <w:link w:val="7"/>
    <w:semiHidden/>
    <w:qFormat/>
    <w:uiPriority w:val="99"/>
    <w:rPr>
      <w:rFonts w:ascii="Times New Roman" w:hAnsi="Times New Roman" w:eastAsia="仿宋_GB2312"/>
      <w:sz w:val="18"/>
      <w:szCs w:val="18"/>
    </w:rPr>
  </w:style>
  <w:style w:type="paragraph" w:customStyle="1" w:styleId="21">
    <w:name w:val="正文1"/>
    <w:basedOn w:val="1"/>
    <w:link w:val="22"/>
    <w:qFormat/>
    <w:uiPriority w:val="0"/>
    <w:pPr>
      <w:widowControl w:val="0"/>
      <w:adjustRightInd w:val="0"/>
      <w:snapToGrid w:val="0"/>
      <w:ind w:firstLine="640"/>
    </w:pPr>
    <w:rPr>
      <w:rFonts w:cs="Times New Roman"/>
      <w:sz w:val="32"/>
      <w:szCs w:val="32"/>
    </w:rPr>
  </w:style>
  <w:style w:type="character" w:customStyle="1" w:styleId="22">
    <w:name w:val="正文1 Char"/>
    <w:basedOn w:val="14"/>
    <w:link w:val="21"/>
    <w:qFormat/>
    <w:uiPriority w:val="0"/>
    <w:rPr>
      <w:rFonts w:ascii="Times New Roman" w:hAnsi="Times New Roman" w:eastAsia="仿宋_GB2312" w:cs="Times New Roman"/>
      <w:sz w:val="32"/>
      <w:szCs w:val="32"/>
    </w:rPr>
  </w:style>
  <w:style w:type="paragraph" w:customStyle="1" w:styleId="23">
    <w:name w:val="表名"/>
    <w:basedOn w:val="1"/>
    <w:link w:val="24"/>
    <w:qFormat/>
    <w:uiPriority w:val="0"/>
    <w:pPr>
      <w:widowControl w:val="0"/>
      <w:adjustRightInd w:val="0"/>
      <w:snapToGrid w:val="0"/>
      <w:spacing w:afterLines="50" w:line="240" w:lineRule="auto"/>
      <w:ind w:firstLine="0" w:firstLineChars="0"/>
    </w:pPr>
    <w:rPr>
      <w:rFonts w:cs="Times New Roman"/>
      <w:b/>
      <w:kern w:val="0"/>
      <w:sz w:val="32"/>
      <w:szCs w:val="32"/>
    </w:rPr>
  </w:style>
  <w:style w:type="character" w:customStyle="1" w:styleId="24">
    <w:name w:val="表名 Char"/>
    <w:basedOn w:val="14"/>
    <w:link w:val="23"/>
    <w:qFormat/>
    <w:uiPriority w:val="0"/>
    <w:rPr>
      <w:rFonts w:ascii="Times New Roman" w:hAnsi="Times New Roman" w:eastAsia="仿宋_GB2312" w:cs="Times New Roman"/>
      <w:b/>
      <w:kern w:val="0"/>
      <w:sz w:val="32"/>
      <w:szCs w:val="32"/>
    </w:rPr>
  </w:style>
  <w:style w:type="paragraph" w:customStyle="1" w:styleId="25">
    <w:name w:val="列表段落1"/>
    <w:basedOn w:val="1"/>
    <w:qFormat/>
    <w:uiPriority w:val="34"/>
    <w:pPr>
      <w:ind w:firstLine="420"/>
    </w:pPr>
  </w:style>
  <w:style w:type="character" w:customStyle="1" w:styleId="26">
    <w:name w:val="批注文字 字符"/>
    <w:basedOn w:val="14"/>
    <w:link w:val="6"/>
    <w:qFormat/>
    <w:uiPriority w:val="99"/>
    <w:rPr>
      <w:rFonts w:eastAsia="仿宋_GB2312" w:cstheme="minorBidi"/>
      <w:kern w:val="2"/>
      <w:sz w:val="28"/>
      <w:szCs w:val="22"/>
    </w:rPr>
  </w:style>
  <w:style w:type="character" w:customStyle="1" w:styleId="27">
    <w:name w:val="批注主题 字符"/>
    <w:basedOn w:val="26"/>
    <w:link w:val="11"/>
    <w:semiHidden/>
    <w:qFormat/>
    <w:uiPriority w:val="99"/>
    <w:rPr>
      <w:rFonts w:eastAsia="仿宋_GB2312" w:cstheme="minorBidi"/>
      <w:b/>
      <w:bCs/>
      <w:kern w:val="2"/>
      <w:sz w:val="28"/>
      <w:szCs w:val="22"/>
    </w:rPr>
  </w:style>
  <w:style w:type="paragraph" w:customStyle="1" w:styleId="28">
    <w:name w:val="修订1"/>
    <w:hidden/>
    <w:semiHidden/>
    <w:qFormat/>
    <w:uiPriority w:val="99"/>
    <w:rPr>
      <w:rFonts w:ascii="Times New Roman" w:hAnsi="Times New Roman" w:eastAsia="仿宋_GB2312" w:cstheme="minorBidi"/>
      <w:kern w:val="2"/>
      <w:sz w:val="28"/>
      <w:szCs w:val="22"/>
      <w:lang w:val="en-US" w:eastAsia="zh-CN" w:bidi="ar-SA"/>
    </w:rPr>
  </w:style>
  <w:style w:type="character" w:customStyle="1" w:styleId="29">
    <w:name w:val="文档结构图 字符"/>
    <w:basedOn w:val="14"/>
    <w:link w:val="5"/>
    <w:semiHidden/>
    <w:qFormat/>
    <w:uiPriority w:val="99"/>
    <w:rPr>
      <w:rFonts w:ascii="宋体" w:cstheme="minorBidi"/>
      <w:kern w:val="2"/>
      <w:sz w:val="18"/>
      <w:szCs w:val="18"/>
    </w:rPr>
  </w:style>
  <w:style w:type="paragraph" w:customStyle="1" w:styleId="30">
    <w:name w:val="修订2"/>
    <w:hidden/>
    <w:semiHidden/>
    <w:qFormat/>
    <w:uiPriority w:val="99"/>
    <w:rPr>
      <w:rFonts w:ascii="Times New Roman" w:hAnsi="Times New Roman" w:eastAsia="仿宋_GB2312" w:cstheme="minorBidi"/>
      <w:kern w:val="2"/>
      <w:sz w:val="28"/>
      <w:szCs w:val="22"/>
      <w:lang w:val="en-US" w:eastAsia="zh-CN" w:bidi="ar-SA"/>
    </w:rPr>
  </w:style>
  <w:style w:type="paragraph" w:customStyle="1" w:styleId="31">
    <w:name w:val="修订3"/>
    <w:hidden/>
    <w:unhideWhenUsed/>
    <w:qFormat/>
    <w:uiPriority w:val="99"/>
    <w:rPr>
      <w:rFonts w:ascii="Times New Roman" w:hAnsi="Times New Roman" w:eastAsia="仿宋_GB2312" w:cstheme="minorBidi"/>
      <w:kern w:val="2"/>
      <w:sz w:val="28"/>
      <w:szCs w:val="22"/>
      <w:lang w:val="en-US" w:eastAsia="zh-CN" w:bidi="ar-SA"/>
    </w:rPr>
  </w:style>
  <w:style w:type="paragraph" w:customStyle="1" w:styleId="32">
    <w:name w:val="Default"/>
    <w:unhideWhenUsed/>
    <w:qFormat/>
    <w:uiPriority w:val="99"/>
    <w:pPr>
      <w:widowControl w:val="0"/>
      <w:autoSpaceDE w:val="0"/>
      <w:autoSpaceDN w:val="0"/>
      <w:adjustRightInd w:val="0"/>
      <w:spacing w:after="200" w:line="276" w:lineRule="auto"/>
    </w:pPr>
    <w:rPr>
      <w:rFonts w:hint="eastAsia" w:ascii="方正小标宋简体" w:hAnsi="方正小标宋简体" w:eastAsia="方正小标宋简体" w:cs="Times New Roman"/>
      <w:color w:val="000000"/>
      <w:sz w:val="24"/>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4469</Words>
  <Characters>4876</Characters>
  <Lines>1</Lines>
  <Paragraphs>1</Paragraphs>
  <TotalTime>31</TotalTime>
  <ScaleCrop>false</ScaleCrop>
  <LinksUpToDate>false</LinksUpToDate>
  <CharactersWithSpaces>4904</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2024-05-08T09:54:00Z</dcterms:created>
  <dc:creator>张三</dc:creator>
  <cp:lastModifiedBy>小八兔</cp:lastModifiedBy>
  <cp:lastPrinted>2025-06-17T15:43:00Z</cp:lastPrinted>
  <dcterms:modified xsi:type="dcterms:W3CDTF">2025-06-30T16:59:41Z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C5A0B8C40DD567AB167E4166858987A1</vt:lpwstr>
  </property>
  <property fmtid="{D5CDD505-2E9C-101B-9397-08002B2CF9AE}" pid="4" name="KSOTemplateDocerSaveRecord">
    <vt:lpwstr>eyJoZGlkIjoiZWUyN2UxNWRmMDg3MmQwYzJhZDcyOGY5YmMyMTU2NmIiLCJ1c2VySWQiOiIxMzE1OTMzMzE3In0=</vt:lpwstr>
  </property>
</Properties>
</file>