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891E">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60E5BD01">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14:paraId="741CC48F">
      <w:pPr>
        <w:keepNext w:val="0"/>
        <w:keepLines w:val="0"/>
        <w:pageBreakBefore w:val="0"/>
        <w:kinsoku/>
        <w:overflowPunct/>
        <w:topLinePunct w:val="0"/>
        <w:autoSpaceDE/>
        <w:autoSpaceDN/>
        <w:bidi w:val="0"/>
        <w:spacing w:line="576" w:lineRule="exact"/>
        <w:ind w:left="0" w:leftChars="0"/>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3578AFAD">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6EC94B15">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p>
    <w:p w14:paraId="2F419E07">
      <w:pPr>
        <w:keepNext w:val="0"/>
        <w:keepLines w:val="0"/>
        <w:pageBreakBefore w:val="0"/>
        <w:kinsoku/>
        <w:wordWrap/>
        <w:overflowPunct/>
        <w:topLinePunct w:val="0"/>
        <w:autoSpaceDE/>
        <w:autoSpaceDN/>
        <w:bidi w:val="0"/>
        <w:spacing w:line="576" w:lineRule="exact"/>
        <w:ind w:left="0" w:leftChars="0"/>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lang w:eastAsia="zh-CN"/>
        </w:rPr>
        <w:t>号</w:t>
      </w:r>
    </w:p>
    <w:p w14:paraId="003B82F6">
      <w:pPr>
        <w:keepNext w:val="0"/>
        <w:keepLines w:val="0"/>
        <w:pageBreakBefore w:val="0"/>
        <w:kinsoku/>
        <w:wordWrap/>
        <w:overflowPunct/>
        <w:topLinePunct w:val="0"/>
        <w:autoSpaceDE/>
        <w:autoSpaceDN/>
        <w:bidi w:val="0"/>
        <w:spacing w:line="576" w:lineRule="exact"/>
        <w:ind w:left="0" w:leftChars="0"/>
        <w:textAlignment w:val="auto"/>
        <w:rPr>
          <w:rFonts w:hint="eastAsia" w:ascii="仿宋_GB2312" w:hAnsi="仿宋" w:eastAsia="仿宋_GB2312"/>
          <w:sz w:val="32"/>
          <w:szCs w:val="32"/>
          <w:highlight w:val="none"/>
          <w:lang w:eastAsia="zh-CN"/>
        </w:rPr>
      </w:pPr>
    </w:p>
    <w:p w14:paraId="7D22C9FD">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当事人：</w:t>
      </w:r>
      <w:bookmarkStart w:id="0" w:name="OLE_LINK5"/>
      <w:r>
        <w:rPr>
          <w:rFonts w:hint="eastAsia" w:ascii="仿宋_GB2312" w:hAnsi="仿宋" w:eastAsia="仿宋_GB2312"/>
          <w:highlight w:val="none"/>
          <w:lang w:val="en-US" w:eastAsia="zh-CN"/>
        </w:rPr>
        <w:t>江门市邦悦五金制品有限公司</w:t>
      </w:r>
      <w:bookmarkEnd w:id="0"/>
    </w:p>
    <w:p w14:paraId="3AEB846A">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91440703MADFGG8W8B</w:t>
      </w:r>
    </w:p>
    <w:p w14:paraId="79D884FB">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rPr>
      </w:pPr>
      <w:r>
        <w:rPr>
          <w:rFonts w:hint="eastAsia" w:ascii="仿宋_GB2312" w:hAnsi="仿宋" w:eastAsia="仿宋_GB2312"/>
          <w:highlight w:val="none"/>
        </w:rPr>
        <w:t>法定代表人：谢子徽</w:t>
      </w:r>
    </w:p>
    <w:p w14:paraId="6079CD96">
      <w:pPr>
        <w:keepNext w:val="0"/>
        <w:keepLines w:val="0"/>
        <w:pageBreakBefore w:val="0"/>
        <w:widowControl w:val="0"/>
        <w:kinsoku/>
        <w:wordWrap/>
        <w:overflowPunct/>
        <w:topLinePunct w:val="0"/>
        <w:autoSpaceDE/>
        <w:autoSpaceDN/>
        <w:bidi w:val="0"/>
        <w:spacing w:line="576"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rPr>
        <w:t>经营地址：</w:t>
      </w:r>
      <w:bookmarkStart w:id="1" w:name="OLE_LINK1"/>
      <w:r>
        <w:rPr>
          <w:rFonts w:hint="eastAsia" w:ascii="仿宋_GB2312" w:hAnsi="仿宋" w:eastAsia="仿宋_GB2312"/>
          <w:highlight w:val="none"/>
          <w:lang w:val="en-US" w:eastAsia="zh-CN"/>
        </w:rPr>
        <w:t>江门市蓬江区荷塘镇篁湾村濯泉坊3号</w:t>
      </w:r>
      <w:bookmarkEnd w:id="1"/>
      <w:r>
        <w:rPr>
          <w:rFonts w:hint="eastAsia" w:ascii="仿宋_GB2312" w:hAnsi="仿宋" w:eastAsia="仿宋_GB2312"/>
          <w:highlight w:val="none"/>
          <w:lang w:val="en-US" w:eastAsia="zh-CN"/>
        </w:rPr>
        <w:t>（一址多照）</w:t>
      </w:r>
    </w:p>
    <w:p w14:paraId="4657C035">
      <w:pPr>
        <w:keepNext w:val="0"/>
        <w:keepLines w:val="0"/>
        <w:pageBreakBefore w:val="0"/>
        <w:kinsoku/>
        <w:wordWrap/>
        <w:overflowPunct/>
        <w:topLinePunct w:val="0"/>
        <w:autoSpaceDE/>
        <w:autoSpaceDN/>
        <w:bidi w:val="0"/>
        <w:adjustRightInd w:val="0"/>
        <w:snapToGrid w:val="0"/>
        <w:spacing w:line="576" w:lineRule="exact"/>
        <w:ind w:left="638" w:leftChars="0" w:hanging="638" w:hangingChars="202"/>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textWrapping"/>
      </w:r>
      <w:r>
        <w:rPr>
          <w:rFonts w:hint="eastAsia" w:ascii="黑体" w:hAnsi="黑体" w:eastAsia="黑体" w:cs="黑体"/>
          <w:b w:val="0"/>
          <w:bCs/>
          <w:sz w:val="32"/>
          <w:szCs w:val="32"/>
        </w:rPr>
        <w:t>一、环境违法事实和证据</w:t>
      </w:r>
    </w:p>
    <w:p w14:paraId="5A3B800D">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2025年3月24日，我局执法人员对你单位进行现场检查，发现你单位存在以下环境违法行为：</w:t>
      </w:r>
    </w:p>
    <w:p w14:paraId="076987D4">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你单位主要从事五金制品制造项目，我局委托江门市蓬江区环境监测站对你单位的外排噪声进行采样监测。根据江门市蓬江区环境监测站2025年4月1日移交的《监测报告》[报告编号：（蓬江）环境监测（2025）第J0324010号]显示，你单位外排工业噪声值为69</w:t>
      </w:r>
      <w:bookmarkStart w:id="2" w:name="OLE_LINK14"/>
      <w:r>
        <w:rPr>
          <w:rFonts w:hint="eastAsia" w:ascii="仿宋_GB2312" w:hAnsi="仿宋" w:eastAsia="仿宋_GB2312" w:cs="Times New Roman"/>
          <w:highlight w:val="none"/>
          <w:lang w:val="en-US" w:eastAsia="zh-CN"/>
        </w:rPr>
        <w:t>dB（A）</w:t>
      </w:r>
      <w:bookmarkEnd w:id="2"/>
      <w:r>
        <w:rPr>
          <w:rFonts w:hint="eastAsia" w:ascii="仿宋_GB2312" w:hAnsi="仿宋" w:eastAsia="仿宋_GB2312" w:cs="Times New Roman"/>
          <w:highlight w:val="none"/>
          <w:lang w:val="en-US" w:eastAsia="zh-CN"/>
        </w:rPr>
        <w:t>，已超过《工业</w:t>
      </w:r>
      <w:bookmarkStart w:id="3" w:name="OLE_LINK10"/>
      <w:r>
        <w:rPr>
          <w:rFonts w:hint="eastAsia" w:ascii="仿宋_GB2312" w:hAnsi="仿宋" w:eastAsia="仿宋_GB2312" w:cs="Times New Roman"/>
          <w:highlight w:val="none"/>
          <w:lang w:val="en-US" w:eastAsia="zh-CN"/>
        </w:rPr>
        <w:t>企业厂界环境噪声排放</w:t>
      </w:r>
      <w:bookmarkEnd w:id="3"/>
      <w:r>
        <w:rPr>
          <w:rFonts w:hint="eastAsia" w:ascii="仿宋_GB2312" w:hAnsi="仿宋" w:eastAsia="仿宋_GB2312" w:cs="Times New Roman"/>
          <w:highlight w:val="none"/>
          <w:lang w:val="en-US" w:eastAsia="zh-CN"/>
        </w:rPr>
        <w:t xml:space="preserve">标准》（GB 12348-2008）表1工业企业厂界环境噪声排放限值中3类声环境功能区昼间标准65dB（A），噪声排放值超标4dB（A），即你单位存在超过噪声排放标准排放工业噪声的环境违法行为。 </w:t>
      </w:r>
    </w:p>
    <w:p w14:paraId="1DD8FF5F">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以上事实，有以下主要证据证明：</w:t>
      </w:r>
    </w:p>
    <w:p w14:paraId="428B961B">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1.2025年3月24日江门市生态环境局执法人员现场检查所作的《江门市生态环境局蓬江分局现场检查（勘察）笔录》。</w:t>
      </w:r>
    </w:p>
    <w:p w14:paraId="62BCE544">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2.2025年3月24日江门市生态环境局执法人员调查询问所作的《江门市生态环境局调查询问笔录》。</w:t>
      </w:r>
    </w:p>
    <w:p w14:paraId="251E807A">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3.2025年3月24日江门市生态环境局执法人员调查时所拍摄的视频资料和照片资料。</w:t>
      </w:r>
    </w:p>
    <w:p w14:paraId="6AE811B2">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证据1、2、3证明一是你单位的主体信息；二是2025年3月24日现场检查时你单位正在生产，江门市蓬江区环境监测站对你单位厂界的工业噪声进行监测。</w:t>
      </w:r>
    </w:p>
    <w:p w14:paraId="0741461A">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4.2025年4月1日江门市生态环境局执法人员接收的《监测报告》[报告编号：（蓬江）环境监测（2025</w:t>
      </w:r>
      <w:bookmarkStart w:id="4" w:name="_GoBack"/>
      <w:bookmarkEnd w:id="4"/>
      <w:r>
        <w:rPr>
          <w:rFonts w:hint="eastAsia" w:ascii="仿宋_GB2312" w:hAnsi="仿宋" w:eastAsia="仿宋_GB2312"/>
          <w:highlight w:val="none"/>
          <w:lang w:val="en-US" w:eastAsia="zh-CN"/>
        </w:rPr>
        <w:t>）第J0324010号]及《江门市蓬江区环境监测站文件移交表》。</w:t>
      </w:r>
    </w:p>
    <w:p w14:paraId="19D50498">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5.2025年4月9日江门市生态环境局执法人员送达时所作的《江门市生态环境局送达回证》。</w:t>
      </w:r>
    </w:p>
    <w:p w14:paraId="3CBD2238">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证据4、5证明一是你单位工业企业厂界环境噪声排放值为69</w:t>
      </w:r>
      <w:r>
        <w:rPr>
          <w:rFonts w:hint="eastAsia" w:ascii="仿宋_GB2312" w:hAnsi="仿宋" w:eastAsia="仿宋_GB2312" w:cs="Times New Roman"/>
          <w:highlight w:val="none"/>
          <w:lang w:val="en-US" w:eastAsia="zh-CN"/>
        </w:rPr>
        <w:t>dB（A）以及我局接收监测结果的时间；二是我局告知你单位监测结果的事实</w:t>
      </w:r>
      <w:r>
        <w:rPr>
          <w:rFonts w:hint="eastAsia" w:ascii="仿宋_GB2312" w:hAnsi="仿宋" w:eastAsia="仿宋_GB2312"/>
          <w:highlight w:val="none"/>
          <w:lang w:val="en-US" w:eastAsia="zh-CN"/>
        </w:rPr>
        <w:t>。</w:t>
      </w:r>
    </w:p>
    <w:p w14:paraId="6EB4E1FB">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6.2025年3月24日江门市生态环境局执法人员调查所作的《江门市生态环境局当事人送达地址确认书》。</w:t>
      </w:r>
    </w:p>
    <w:p w14:paraId="6C680EA8">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证据6证明你单位已提供经确认过的送达地址和方式</w:t>
      </w:r>
      <w:r>
        <w:rPr>
          <w:rFonts w:hint="eastAsia" w:ascii="仿宋_GB2312" w:hAnsi="仿宋" w:eastAsia="仿宋_GB2312"/>
          <w:color w:val="000000"/>
          <w:sz w:val="32"/>
          <w:szCs w:val="32"/>
          <w:lang w:val="en-US" w:eastAsia="zh-CN"/>
        </w:rPr>
        <w:t xml:space="preserve">。    </w:t>
      </w:r>
    </w:p>
    <w:p w14:paraId="2BBF2D6F">
      <w:pPr>
        <w:keepNext w:val="0"/>
        <w:keepLines w:val="0"/>
        <w:pageBreakBefore w:val="0"/>
        <w:widowControl/>
        <w:kinsoku/>
        <w:wordWrap/>
        <w:overflowPunct/>
        <w:topLinePunct w:val="0"/>
        <w:autoSpaceDE/>
        <w:autoSpaceDN/>
        <w:bidi w:val="0"/>
        <w:adjustRightInd w:val="0"/>
        <w:snapToGrid w:val="0"/>
        <w:spacing w:line="576" w:lineRule="exact"/>
        <w:ind w:left="0" w:leftChars="0"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667943C0">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《中华人民共和国噪声污染防治法》第二十二条第一款</w:t>
      </w:r>
      <w:r>
        <w:rPr>
          <w:rFonts w:hint="eastAsia" w:ascii="仿宋_GB2312" w:hAnsi="仿宋" w:eastAsia="仿宋_GB2312"/>
          <w:highlight w:val="none"/>
          <w:lang w:val="en-US" w:eastAsia="zh-CN"/>
        </w:rPr>
        <w:t>“排放噪声、产生振动，应当符合噪声排放标准以及相关的环境振动控制标准和有关法律、法规、规章的要求。”</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color w:val="000000"/>
          <w:sz w:val="32"/>
          <w:szCs w:val="32"/>
          <w:lang w:val="en-US" w:eastAsia="zh-CN"/>
        </w:rPr>
        <w:t>《中华人民共和国噪声污染防治法》第七十五条“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责令你单位自收到本决定书之日起立即改正超过噪声排放标准排放工业噪声的违法行为</w:t>
      </w:r>
      <w:r>
        <w:rPr>
          <w:rFonts w:hint="eastAsia" w:ascii="仿宋_GB2312" w:hAnsi="仿宋" w:eastAsia="仿宋_GB2312"/>
          <w:b/>
          <w:sz w:val="32"/>
          <w:szCs w:val="32"/>
        </w:rPr>
        <w:t>。</w:t>
      </w:r>
    </w:p>
    <w:p w14:paraId="2AE5BEC8">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513F6C38">
      <w:pPr>
        <w:keepNext w:val="0"/>
        <w:keepLines w:val="0"/>
        <w:pageBreakBefore w:val="0"/>
        <w:widowControl/>
        <w:kinsoku/>
        <w:wordWrap/>
        <w:overflowPunct/>
        <w:topLinePunct w:val="0"/>
        <w:autoSpaceDE/>
        <w:autoSpaceDN/>
        <w:bidi w:val="0"/>
        <w:adjustRightInd w:val="0"/>
        <w:snapToGrid w:val="0"/>
        <w:spacing w:line="576" w:lineRule="exact"/>
        <w:ind w:left="0" w:leftChars="0"/>
        <w:textAlignment w:val="auto"/>
        <w:rPr>
          <w:rFonts w:hint="eastAsia" w:ascii="仿宋_GB2312" w:hAnsi="仿宋" w:eastAsia="仿宋_GB2312"/>
          <w:b w:val="0"/>
          <w:bCs/>
          <w:sz w:val="32"/>
          <w:szCs w:val="32"/>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新会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59248F31">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14:paraId="7F4DB410">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林先生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3467E8FE">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14:paraId="57211714">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14:paraId="677868D6">
      <w:pPr>
        <w:keepNext w:val="0"/>
        <w:keepLines w:val="0"/>
        <w:pageBreakBefore w:val="0"/>
        <w:kinsoku/>
        <w:wordWrap w:val="0"/>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487" w:tblpY="922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F663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0F5B2582">
            <w:pPr>
              <w:keepNext w:val="0"/>
              <w:keepLines w:val="0"/>
              <w:pageBreakBefore w:val="0"/>
              <w:kinsoku/>
              <w:overflowPunct/>
              <w:topLinePunct w:val="0"/>
              <w:autoSpaceDE/>
              <w:autoSpaceDN/>
              <w:bidi w:val="0"/>
              <w:adjustRightInd w:val="0"/>
              <w:snapToGrid w:val="0"/>
              <w:spacing w:line="576" w:lineRule="exact"/>
              <w:ind w:left="948" w:hanging="948" w:hangingChars="300"/>
              <w:textAlignment w:val="auto"/>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14:paraId="5FC450AC">
      <w:pPr>
        <w:keepNext w:val="0"/>
        <w:keepLines w:val="0"/>
        <w:pageBreakBefore w:val="0"/>
        <w:kinsoku/>
        <w:wordWrap w:val="0"/>
        <w:overflowPunct/>
        <w:topLinePunct w:val="0"/>
        <w:autoSpaceDE/>
        <w:autoSpaceDN/>
        <w:bidi w:val="0"/>
        <w:spacing w:line="576" w:lineRule="exact"/>
        <w:ind w:left="0" w:leftChars="0" w:firstLine="2370" w:firstLineChars="750"/>
        <w:jc w:val="right"/>
        <w:textAlignment w:val="auto"/>
        <w:rPr>
          <w:rFonts w:hint="default"/>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14</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B47">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FE7">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0710FD2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023677B"/>
    <w:rsid w:val="043E554A"/>
    <w:rsid w:val="04AA761B"/>
    <w:rsid w:val="072603B3"/>
    <w:rsid w:val="08A92534"/>
    <w:rsid w:val="0A8516E1"/>
    <w:rsid w:val="0B055B73"/>
    <w:rsid w:val="0B963273"/>
    <w:rsid w:val="0D5F7150"/>
    <w:rsid w:val="0FE90846"/>
    <w:rsid w:val="12716006"/>
    <w:rsid w:val="13082F46"/>
    <w:rsid w:val="14AD38C9"/>
    <w:rsid w:val="16BA2357"/>
    <w:rsid w:val="172B30B1"/>
    <w:rsid w:val="18C02934"/>
    <w:rsid w:val="19532F81"/>
    <w:rsid w:val="1B767BA0"/>
    <w:rsid w:val="1C0E008E"/>
    <w:rsid w:val="1E7D459E"/>
    <w:rsid w:val="1E8F1A7E"/>
    <w:rsid w:val="1EF870BD"/>
    <w:rsid w:val="21B25987"/>
    <w:rsid w:val="24794EE7"/>
    <w:rsid w:val="256778B2"/>
    <w:rsid w:val="263133EF"/>
    <w:rsid w:val="29AC296F"/>
    <w:rsid w:val="29F66A26"/>
    <w:rsid w:val="2A6638C5"/>
    <w:rsid w:val="2A9A2111"/>
    <w:rsid w:val="2B3E5AE0"/>
    <w:rsid w:val="2C4C4539"/>
    <w:rsid w:val="2C623CFD"/>
    <w:rsid w:val="2C662313"/>
    <w:rsid w:val="2D3C7F61"/>
    <w:rsid w:val="2D4A2C7D"/>
    <w:rsid w:val="314D5A8A"/>
    <w:rsid w:val="322F7D2E"/>
    <w:rsid w:val="329840FE"/>
    <w:rsid w:val="333951CB"/>
    <w:rsid w:val="340B26E5"/>
    <w:rsid w:val="34F668AB"/>
    <w:rsid w:val="35661812"/>
    <w:rsid w:val="37F20125"/>
    <w:rsid w:val="3AE622B2"/>
    <w:rsid w:val="3B8D3AB8"/>
    <w:rsid w:val="3C9D0962"/>
    <w:rsid w:val="3CC558D0"/>
    <w:rsid w:val="3D5B233F"/>
    <w:rsid w:val="3E18158D"/>
    <w:rsid w:val="3E79585D"/>
    <w:rsid w:val="3FDB4A82"/>
    <w:rsid w:val="40663181"/>
    <w:rsid w:val="40F0058A"/>
    <w:rsid w:val="41721F7B"/>
    <w:rsid w:val="4221437C"/>
    <w:rsid w:val="42825D54"/>
    <w:rsid w:val="428836D8"/>
    <w:rsid w:val="43DF7264"/>
    <w:rsid w:val="44C01469"/>
    <w:rsid w:val="454115EB"/>
    <w:rsid w:val="47DE269E"/>
    <w:rsid w:val="48886835"/>
    <w:rsid w:val="48CB01F5"/>
    <w:rsid w:val="4AFF0E52"/>
    <w:rsid w:val="4C9856D1"/>
    <w:rsid w:val="50CE4398"/>
    <w:rsid w:val="510E6500"/>
    <w:rsid w:val="51A62FDC"/>
    <w:rsid w:val="52BB78A4"/>
    <w:rsid w:val="53177027"/>
    <w:rsid w:val="54466CE9"/>
    <w:rsid w:val="554E7826"/>
    <w:rsid w:val="56C7275E"/>
    <w:rsid w:val="56F87E9E"/>
    <w:rsid w:val="591744C5"/>
    <w:rsid w:val="59472FCE"/>
    <w:rsid w:val="5CC01E76"/>
    <w:rsid w:val="5E624814"/>
    <w:rsid w:val="67801DCE"/>
    <w:rsid w:val="680B7364"/>
    <w:rsid w:val="6B5C4338"/>
    <w:rsid w:val="6F534C26"/>
    <w:rsid w:val="6FB35177"/>
    <w:rsid w:val="700667B1"/>
    <w:rsid w:val="72951C8E"/>
    <w:rsid w:val="7376095C"/>
    <w:rsid w:val="73E571AA"/>
    <w:rsid w:val="795F2B82"/>
    <w:rsid w:val="7A661B61"/>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1408</Words>
  <Characters>1532</Characters>
  <Lines>0</Lines>
  <Paragraphs>0</Paragraphs>
  <TotalTime>0</TotalTime>
  <ScaleCrop>false</ScaleCrop>
  <LinksUpToDate>false</LinksUpToDate>
  <CharactersWithSpaces>1588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2022-03-29T10:39:00Z</cp:lastPrinted>
  <dcterms:modified xsi:type="dcterms:W3CDTF">2025-04-14T03:59:58Z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BFDE6B0C952242A19031BBFBE85B13E3</vt:lpwstr>
  </property>
  <property fmtid="{D5CDD505-2E9C-101B-9397-08002B2CF9AE}" pid="4" name="KSOTemplateDocerSaveRecord">
    <vt:lpwstr>eyJoZGlkIjoiMDY0ZTQxMGVlNzJhOWYyYTI4MmViYmVkMzAzZDc0OGEifQ==</vt:lpwstr>
  </property>
</Properties>
</file>