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81761">
      <w:pPr>
        <w:spacing w:line="576" w:lineRule="exact"/>
        <w:jc w:val="center"/>
        <w:rPr>
          <w:rFonts w:ascii="方正小标宋_GBK" w:eastAsia="方正小标宋_GBK" w:cs="方正小标宋_GBK"/>
          <w:spacing w:val="10"/>
          <w:sz w:val="44"/>
          <w:szCs w:val="44"/>
        </w:rPr>
      </w:pPr>
      <w:r>
        <w:rPr>
          <w:rFonts w:hint="eastAsia" w:ascii="方正小标宋_GBK" w:eastAsia="方正小标宋_GBK" w:cs="方正小标宋_GBK"/>
          <w:spacing w:val="10"/>
          <w:sz w:val="44"/>
          <w:szCs w:val="44"/>
        </w:rPr>
        <w:t>关于2019年蓬江区委、区政府主要</w:t>
      </w:r>
    </w:p>
    <w:p w14:paraId="616B6ABF">
      <w:pPr>
        <w:spacing w:line="576" w:lineRule="exact"/>
        <w:jc w:val="center"/>
        <w:rPr>
          <w:rFonts w:ascii="方正小标宋_GBK" w:eastAsia="方正小标宋_GBK" w:cs="方正小标宋_GBK"/>
          <w:spacing w:val="10"/>
          <w:sz w:val="44"/>
          <w:szCs w:val="44"/>
        </w:rPr>
      </w:pPr>
      <w:r>
        <w:rPr>
          <w:rFonts w:hint="eastAsia" w:ascii="方正小标宋_GBK" w:eastAsia="方正小标宋_GBK" w:cs="方正小标宋_GBK"/>
          <w:spacing w:val="10"/>
          <w:sz w:val="44"/>
          <w:szCs w:val="44"/>
        </w:rPr>
        <w:t>工作任务和重点民生实事</w:t>
      </w:r>
    </w:p>
    <w:p w14:paraId="173FAF60">
      <w:pPr>
        <w:spacing w:line="576" w:lineRule="exact"/>
        <w:jc w:val="center"/>
        <w:rPr>
          <w:rFonts w:ascii="方正小标宋_GBK" w:eastAsia="方正小标宋_GBK" w:cs="方正小标宋_GBK"/>
          <w:spacing w:val="10"/>
          <w:sz w:val="44"/>
          <w:szCs w:val="44"/>
        </w:rPr>
      </w:pPr>
      <w:r>
        <w:rPr>
          <w:rFonts w:hint="eastAsia" w:ascii="方正小标宋_GBK" w:eastAsia="方正小标宋_GBK" w:cs="方正小标宋_GBK"/>
          <w:spacing w:val="10"/>
          <w:sz w:val="44"/>
          <w:szCs w:val="44"/>
        </w:rPr>
        <w:t>第一季度进展情况的通报</w:t>
      </w:r>
    </w:p>
    <w:p w14:paraId="2E737D06">
      <w:pPr>
        <w:adjustRightInd w:val="0"/>
        <w:snapToGrid w:val="0"/>
        <w:spacing w:line="576" w:lineRule="exact"/>
        <w:rPr>
          <w:rFonts w:ascii="仿宋_GB2312" w:eastAsia="仿宋_GB2312" w:cs="Times New Roman"/>
          <w:spacing w:val="10"/>
          <w:sz w:val="32"/>
          <w:szCs w:val="32"/>
        </w:rPr>
      </w:pPr>
    </w:p>
    <w:p w14:paraId="30854F6A">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今年初，我办下发了《关于印发&lt;2019年蓬江区委、区政府主要工作任务分解表&gt;的通知》（蓬江督办〔2019〕3号），明确了各镇、街、区直各单位的工作任务。根据区领导的部署要求，区委、区政府信息督查室对2019年蓬江区委、区政府重点工作任务完成情况进行了专项督查，现将督查情况通报如下：</w:t>
      </w:r>
    </w:p>
    <w:p w14:paraId="0DD716E3">
      <w:pPr>
        <w:spacing w:line="576" w:lineRule="exact"/>
        <w:ind w:firstLine="640" w:firstLineChars="200"/>
        <w:rPr>
          <w:rFonts w:ascii="黑体" w:hAnsi="黑体" w:eastAsia="黑体"/>
          <w:sz w:val="32"/>
          <w:szCs w:val="32"/>
        </w:rPr>
      </w:pPr>
      <w:r>
        <w:rPr>
          <w:rFonts w:hint="eastAsia" w:ascii="黑体" w:hAnsi="黑体" w:eastAsia="黑体"/>
          <w:sz w:val="32"/>
          <w:szCs w:val="32"/>
        </w:rPr>
        <w:t>一、市、区重点工作方面</w:t>
      </w:r>
    </w:p>
    <w:p w14:paraId="17F69961">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一季度市委、市政府交办的重点工作共17项，其中市委交办重点工作共2项，市政府重点工作交办共15项，均能按时间进度完成；区委、区政府重点工作共114项，其中按时间进度完成114项，基本按进度完成1项。基本按进度完成的工作任务为：</w:t>
      </w:r>
    </w:p>
    <w:p w14:paraId="78098FD0">
      <w:pPr>
        <w:spacing w:line="576" w:lineRule="exact"/>
        <w:ind w:firstLine="643" w:firstLineChars="200"/>
        <w:rPr>
          <w:rFonts w:ascii="仿宋_GB2312" w:hAnsi="仿宋" w:eastAsia="仿宋_GB2312"/>
          <w:sz w:val="32"/>
          <w:szCs w:val="32"/>
        </w:rPr>
      </w:pPr>
      <w:r>
        <w:rPr>
          <w:rFonts w:hint="eastAsia" w:ascii="仿宋_GB2312" w:hAnsi="仿宋" w:eastAsia="仿宋_GB2312"/>
          <w:b/>
          <w:sz w:val="32"/>
          <w:szCs w:val="32"/>
        </w:rPr>
        <w:t>“力争实现工业投资85亿元，力促落地一批、动工一批、投产一批、达产一批工业项目”。</w:t>
      </w:r>
      <w:r>
        <w:rPr>
          <w:rFonts w:hint="eastAsia" w:ascii="仿宋_GB2312" w:hAnsi="仿宋" w:eastAsia="仿宋_GB2312"/>
          <w:sz w:val="32"/>
          <w:szCs w:val="32"/>
        </w:rPr>
        <w:t>截至3月底，全区完成工业投资6.03亿元，同比下降25.67%。主要原因和下一步建议在第一点“重要指标方面”已详述。</w:t>
      </w:r>
    </w:p>
    <w:p w14:paraId="4B43A6B8">
      <w:pPr>
        <w:spacing w:line="576" w:lineRule="exact"/>
        <w:ind w:firstLine="640" w:firstLineChars="200"/>
        <w:rPr>
          <w:rFonts w:ascii="黑体" w:hAnsi="黑体" w:eastAsia="黑体"/>
          <w:sz w:val="32"/>
          <w:szCs w:val="32"/>
        </w:rPr>
      </w:pPr>
      <w:r>
        <w:rPr>
          <w:rFonts w:hint="eastAsia" w:ascii="黑体" w:hAnsi="黑体" w:eastAsia="黑体"/>
          <w:sz w:val="32"/>
          <w:szCs w:val="32"/>
        </w:rPr>
        <w:t>二、民生实事方面</w:t>
      </w:r>
    </w:p>
    <w:p w14:paraId="183DF698">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2019年蓬江区民生实事工作任务共20项。一季度全区各级强化工作责任，积极采取有力措施，以人民对美好生活的向往为奋斗目标，切实为人民群众解决与生产、生活密切相关的热点难点问题，较好地完成了一季度民生实事节点任务。请各单位继续真抓实干，用好“绣花功夫”不断推动民生保障、城市品质、公共服务等优化提升，让群众有更多获得感、幸福感、安全感。</w:t>
      </w:r>
    </w:p>
    <w:p w14:paraId="49E4CEC5">
      <w:pPr>
        <w:spacing w:line="576" w:lineRule="exact"/>
        <w:ind w:firstLine="640" w:firstLineChars="200"/>
        <w:rPr>
          <w:rFonts w:ascii="仿宋_GB2312" w:hAnsi="仿宋" w:eastAsia="仿宋_GB2312"/>
          <w:sz w:val="32"/>
          <w:szCs w:val="32"/>
        </w:rPr>
      </w:pPr>
    </w:p>
    <w:p w14:paraId="239C2BCC">
      <w:pPr>
        <w:spacing w:line="576" w:lineRule="exact"/>
        <w:ind w:firstLine="640" w:firstLineChars="200"/>
        <w:rPr>
          <w:rFonts w:ascii="仿宋_GB2312" w:hAnsi="仿宋" w:eastAsia="仿宋_GB2312"/>
          <w:sz w:val="32"/>
          <w:szCs w:val="32"/>
        </w:rPr>
      </w:pPr>
    </w:p>
    <w:p w14:paraId="6466E7CB">
      <w:pPr>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附件：1.</w:t>
      </w:r>
      <w:r>
        <w:rPr>
          <w:rFonts w:hint="eastAsia"/>
        </w:rPr>
        <w:t xml:space="preserve"> </w:t>
      </w:r>
      <w:r>
        <w:rPr>
          <w:rFonts w:hint="eastAsia" w:ascii="仿宋_GB2312" w:hAnsi="仿宋" w:eastAsia="仿宋_GB2312"/>
          <w:sz w:val="32"/>
          <w:szCs w:val="32"/>
        </w:rPr>
        <w:t>2019年蓬江区委、区政府主要工作任务分解表</w:t>
      </w:r>
    </w:p>
    <w:p w14:paraId="118F9241">
      <w:pPr>
        <w:spacing w:line="576" w:lineRule="exact"/>
        <w:ind w:left="1920" w:hanging="1920" w:hangingChars="600"/>
        <w:rPr>
          <w:rFonts w:ascii="仿宋_GB2312" w:hAnsi="仿宋" w:eastAsia="仿宋_GB2312"/>
          <w:sz w:val="32"/>
          <w:szCs w:val="32"/>
        </w:rPr>
      </w:pPr>
      <w:r>
        <w:rPr>
          <w:rFonts w:hint="eastAsia" w:ascii="仿宋_GB2312" w:hAnsi="仿宋" w:eastAsia="仿宋_GB2312"/>
          <w:sz w:val="32"/>
          <w:szCs w:val="32"/>
        </w:rPr>
        <w:t xml:space="preserve">          2.市重点项目一季度未达时间进度和未按计划开工情况表</w:t>
      </w:r>
    </w:p>
    <w:p w14:paraId="1C350F05">
      <w:pPr>
        <w:spacing w:line="576" w:lineRule="exact"/>
        <w:rPr>
          <w:rFonts w:ascii="仿宋_GB2312" w:hAnsi="仿宋" w:eastAsia="仿宋_GB2312"/>
          <w:sz w:val="32"/>
          <w:szCs w:val="32"/>
        </w:rPr>
      </w:pPr>
    </w:p>
    <w:p w14:paraId="7575F379">
      <w:pPr>
        <w:spacing w:line="576" w:lineRule="exact"/>
        <w:rPr>
          <w:rFonts w:ascii="仿宋_GB2312" w:hAnsi="仿宋" w:eastAsia="仿宋_GB2312"/>
          <w:sz w:val="32"/>
          <w:szCs w:val="32"/>
        </w:rPr>
      </w:pPr>
    </w:p>
    <w:p w14:paraId="53979D1B">
      <w:pPr>
        <w:wordWrap w:val="0"/>
        <w:spacing w:line="576" w:lineRule="exact"/>
        <w:ind w:right="651" w:rightChars="310" w:firstLine="640" w:firstLineChars="200"/>
        <w:jc w:val="right"/>
        <w:rPr>
          <w:rFonts w:ascii="仿宋_GB2312" w:hAnsi="仿宋_GB2312" w:eastAsia="仿宋_GB2312" w:cs="Times New Roman"/>
          <w:sz w:val="32"/>
          <w:szCs w:val="32"/>
        </w:rPr>
        <w:sectPr>
          <w:footerReference r:id="rId3" w:type="default"/>
          <w:footerReference r:id="rId4" w:type="even"/>
          <w:pgSz w:w="11907" w:h="16840"/>
          <w:pgMar w:top="2098" w:right="1588" w:bottom="1985" w:left="1588" w:header="851" w:footer="1588" w:gutter="0"/>
          <w:pgNumType w:fmt="numberInDash"/>
          <w:cols w:space="425" w:num="1"/>
          <w:docGrid w:linePitch="312" w:charSpace="0"/>
        </w:sectPr>
      </w:pPr>
    </w:p>
    <w:p w14:paraId="10DEDD8F">
      <w:pPr>
        <w:spacing w:line="500" w:lineRule="exact"/>
        <w:jc w:val="left"/>
        <w:rPr>
          <w:rFonts w:ascii="黑体" w:hAnsi="黑体" w:eastAsia="黑体" w:cs="黑体"/>
          <w:sz w:val="32"/>
          <w:szCs w:val="32"/>
        </w:rPr>
      </w:pPr>
      <w:r>
        <w:rPr>
          <w:rFonts w:hint="eastAsia" w:ascii="黑体" w:hAnsi="黑体" w:eastAsia="黑体" w:cs="黑体"/>
          <w:sz w:val="32"/>
          <w:szCs w:val="32"/>
        </w:rPr>
        <w:t>附件1</w:t>
      </w:r>
    </w:p>
    <w:p w14:paraId="3EB0940F">
      <w:pPr>
        <w:spacing w:line="500" w:lineRule="exact"/>
        <w:jc w:val="left"/>
        <w:rPr>
          <w:rFonts w:ascii="黑体" w:hAnsi="黑体" w:eastAsia="黑体" w:cs="Times New Roman"/>
          <w:sz w:val="32"/>
          <w:szCs w:val="32"/>
        </w:rPr>
      </w:pPr>
    </w:p>
    <w:p w14:paraId="6485A5AC">
      <w:pPr>
        <w:spacing w:line="560" w:lineRule="exact"/>
        <w:jc w:val="center"/>
        <w:rPr>
          <w:rFonts w:ascii="方正小标宋_GBK" w:eastAsia="方正小标宋_GBK" w:cs="方正小标宋_GBK"/>
          <w:spacing w:val="10"/>
          <w:sz w:val="44"/>
          <w:szCs w:val="44"/>
        </w:rPr>
      </w:pPr>
      <w:r>
        <w:rPr>
          <w:rFonts w:hint="eastAsia" w:ascii="方正小标宋_GBK" w:hAnsi="Times New Roman" w:eastAsia="方正小标宋_GBK" w:cs="方正小标宋_GBK"/>
          <w:sz w:val="44"/>
          <w:szCs w:val="44"/>
        </w:rPr>
        <w:t>2019年蓬江区委、区政府主要工作任务分解表</w:t>
      </w:r>
    </w:p>
    <w:p w14:paraId="1B3D15BA">
      <w:pPr>
        <w:spacing w:line="500" w:lineRule="exact"/>
        <w:jc w:val="center"/>
        <w:rPr>
          <w:rFonts w:ascii="黑体" w:hAnsi="黑体" w:eastAsia="黑体" w:cs="Times New Roman"/>
          <w:sz w:val="32"/>
          <w:szCs w:val="32"/>
        </w:rPr>
      </w:pPr>
      <w:r>
        <w:rPr>
          <w:rFonts w:hint="eastAsia" w:ascii="黑体" w:hAnsi="黑体" w:eastAsia="黑体" w:cs="黑体"/>
          <w:sz w:val="32"/>
          <w:szCs w:val="32"/>
        </w:rPr>
        <w:t>（总计151项）</w:t>
      </w:r>
    </w:p>
    <w:p w14:paraId="2A342A5A">
      <w:pPr>
        <w:spacing w:line="400" w:lineRule="exact"/>
        <w:rPr>
          <w:rFonts w:ascii="黑体" w:hAnsi="黑体" w:eastAsia="黑体" w:cs="黑体"/>
          <w:sz w:val="32"/>
          <w:szCs w:val="32"/>
        </w:rPr>
      </w:pPr>
      <w:r>
        <w:rPr>
          <w:rFonts w:hint="eastAsia" w:ascii="黑体" w:hAnsi="黑体" w:eastAsia="黑体" w:cs="黑体"/>
          <w:sz w:val="32"/>
          <w:szCs w:val="32"/>
        </w:rPr>
        <w:t>一、市委、市政府交办（全年）重点工作（共17项，其中市委交办2项，市政府交办15项）</w:t>
      </w:r>
    </w:p>
    <w:tbl>
      <w:tblPr>
        <w:tblStyle w:val="18"/>
        <w:tblW w:w="15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270"/>
        <w:gridCol w:w="2206"/>
        <w:gridCol w:w="1134"/>
        <w:gridCol w:w="3119"/>
        <w:gridCol w:w="7200"/>
      </w:tblGrid>
      <w:tr w14:paraId="5913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blHeader/>
          <w:jc w:val="center"/>
        </w:trPr>
        <w:tc>
          <w:tcPr>
            <w:tcW w:w="496" w:type="dxa"/>
            <w:vAlign w:val="center"/>
          </w:tcPr>
          <w:p w14:paraId="37BF53BA">
            <w:pPr>
              <w:spacing w:line="360" w:lineRule="exact"/>
              <w:jc w:val="center"/>
              <w:rPr>
                <w:rFonts w:ascii="黑体" w:hAnsi="黑体" w:eastAsia="黑体" w:cs="Times New Roman"/>
                <w:sz w:val="28"/>
                <w:szCs w:val="28"/>
              </w:rPr>
            </w:pPr>
            <w:r>
              <w:rPr>
                <w:rFonts w:hint="eastAsia" w:ascii="黑体" w:hAnsi="黑体" w:eastAsia="黑体" w:cs="黑体"/>
                <w:sz w:val="28"/>
                <w:szCs w:val="28"/>
              </w:rPr>
              <w:t>序号</w:t>
            </w:r>
          </w:p>
        </w:tc>
        <w:tc>
          <w:tcPr>
            <w:tcW w:w="3476" w:type="dxa"/>
            <w:gridSpan w:val="2"/>
            <w:vAlign w:val="center"/>
          </w:tcPr>
          <w:p w14:paraId="5B3C123F">
            <w:pPr>
              <w:spacing w:line="360" w:lineRule="exact"/>
              <w:jc w:val="center"/>
              <w:rPr>
                <w:rFonts w:ascii="黑体" w:hAnsi="黑体" w:eastAsia="黑体" w:cs="Times New Roman"/>
                <w:sz w:val="28"/>
                <w:szCs w:val="28"/>
              </w:rPr>
            </w:pPr>
            <w:r>
              <w:rPr>
                <w:rFonts w:hint="eastAsia" w:ascii="黑体" w:hAnsi="黑体" w:eastAsia="黑体" w:cs="黑体"/>
                <w:sz w:val="28"/>
                <w:szCs w:val="28"/>
              </w:rPr>
              <w:t>工作内容</w:t>
            </w:r>
          </w:p>
        </w:tc>
        <w:tc>
          <w:tcPr>
            <w:tcW w:w="1134" w:type="dxa"/>
            <w:vAlign w:val="center"/>
          </w:tcPr>
          <w:p w14:paraId="46F1DD48">
            <w:pPr>
              <w:spacing w:line="360" w:lineRule="exact"/>
              <w:jc w:val="center"/>
              <w:rPr>
                <w:rFonts w:ascii="黑体" w:hAnsi="黑体" w:eastAsia="黑体" w:cs="Times New Roman"/>
                <w:sz w:val="28"/>
                <w:szCs w:val="28"/>
              </w:rPr>
            </w:pPr>
            <w:r>
              <w:rPr>
                <w:rFonts w:hint="eastAsia" w:ascii="黑体" w:hAnsi="黑体" w:eastAsia="黑体" w:cs="Times New Roman"/>
                <w:sz w:val="28"/>
                <w:szCs w:val="28"/>
              </w:rPr>
              <w:t>责任</w:t>
            </w:r>
          </w:p>
          <w:p w14:paraId="39EDEF35">
            <w:pPr>
              <w:spacing w:line="360" w:lineRule="exact"/>
              <w:jc w:val="center"/>
              <w:rPr>
                <w:rFonts w:ascii="黑体" w:hAnsi="黑体" w:eastAsia="黑体" w:cs="Times New Roman"/>
                <w:sz w:val="28"/>
                <w:szCs w:val="28"/>
              </w:rPr>
            </w:pPr>
            <w:r>
              <w:rPr>
                <w:rFonts w:hint="eastAsia" w:ascii="黑体" w:hAnsi="黑体" w:eastAsia="黑体" w:cs="Times New Roman"/>
                <w:sz w:val="28"/>
                <w:szCs w:val="28"/>
              </w:rPr>
              <w:t>领导</w:t>
            </w:r>
          </w:p>
        </w:tc>
        <w:tc>
          <w:tcPr>
            <w:tcW w:w="3119" w:type="dxa"/>
            <w:vAlign w:val="center"/>
          </w:tcPr>
          <w:p w14:paraId="4F46FE5A">
            <w:pPr>
              <w:spacing w:line="360" w:lineRule="exact"/>
              <w:jc w:val="center"/>
              <w:rPr>
                <w:rFonts w:ascii="黑体" w:hAnsi="黑体" w:eastAsia="黑体" w:cs="Times New Roman"/>
                <w:sz w:val="28"/>
                <w:szCs w:val="28"/>
              </w:rPr>
            </w:pPr>
            <w:r>
              <w:rPr>
                <w:rFonts w:hint="eastAsia" w:ascii="黑体" w:hAnsi="黑体" w:eastAsia="黑体" w:cs="黑体"/>
                <w:sz w:val="28"/>
                <w:szCs w:val="28"/>
              </w:rPr>
              <w:t>责任单位</w:t>
            </w:r>
          </w:p>
        </w:tc>
        <w:tc>
          <w:tcPr>
            <w:tcW w:w="7200" w:type="dxa"/>
            <w:vAlign w:val="center"/>
          </w:tcPr>
          <w:p w14:paraId="020ABF4A">
            <w:pPr>
              <w:spacing w:line="360" w:lineRule="exact"/>
              <w:ind w:left="-107" w:leftChars="-51" w:right="-82" w:rightChars="-39"/>
              <w:jc w:val="center"/>
              <w:rPr>
                <w:rFonts w:ascii="黑体" w:hAnsi="黑体" w:eastAsia="黑体" w:cs="Times New Roman"/>
                <w:sz w:val="28"/>
                <w:szCs w:val="28"/>
              </w:rPr>
            </w:pPr>
            <w:r>
              <w:rPr>
                <w:rFonts w:hint="eastAsia" w:ascii="黑体" w:hAnsi="黑体" w:eastAsia="黑体" w:cs="黑体"/>
                <w:sz w:val="28"/>
                <w:szCs w:val="28"/>
              </w:rPr>
              <w:t>进展情况</w:t>
            </w:r>
          </w:p>
        </w:tc>
      </w:tr>
      <w:tr w14:paraId="153F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4" w:hRule="atLeast"/>
          <w:jc w:val="center"/>
        </w:trPr>
        <w:tc>
          <w:tcPr>
            <w:tcW w:w="496" w:type="dxa"/>
            <w:vAlign w:val="center"/>
          </w:tcPr>
          <w:p w14:paraId="1AF2C8E2">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526C726B">
            <w:pPr>
              <w:spacing w:line="300" w:lineRule="exact"/>
              <w:rPr>
                <w:rFonts w:ascii="仿宋_GB2312" w:hAnsi="宋体" w:eastAsia="仿宋_GB2312" w:cs="Times New Roman"/>
                <w:sz w:val="24"/>
                <w:szCs w:val="24"/>
              </w:rPr>
            </w:pPr>
            <w:r>
              <w:rPr>
                <w:rFonts w:hint="eastAsia" w:ascii="宋体" w:hAnsi="宋体" w:cs="Times New Roman"/>
                <w:sz w:val="24"/>
                <w:szCs w:val="24"/>
              </w:rPr>
              <w:t>*</w:t>
            </w:r>
            <w:r>
              <w:rPr>
                <w:rFonts w:hint="eastAsia" w:ascii="仿宋_GB2312" w:hAnsi="宋体" w:eastAsia="仿宋_GB2312" w:cs="Times New Roman"/>
                <w:sz w:val="24"/>
                <w:szCs w:val="24"/>
              </w:rPr>
              <w:t>加快建设江门人才岛，打造立足珠西、面向粤港澳大湾区的人才基地。</w:t>
            </w:r>
            <w:r>
              <w:rPr>
                <w:rFonts w:hint="eastAsia" w:ascii="仿宋_GB2312" w:hAnsi="宋体" w:eastAsia="仿宋_GB2312"/>
                <w:b/>
                <w:sz w:val="24"/>
                <w:szCs w:val="24"/>
              </w:rPr>
              <w:t>（牵头单位：人才岛建设指挥部办公室）</w:t>
            </w:r>
          </w:p>
        </w:tc>
        <w:tc>
          <w:tcPr>
            <w:tcW w:w="1134" w:type="dxa"/>
            <w:vAlign w:val="center"/>
          </w:tcPr>
          <w:p w14:paraId="2FDF3263">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黎国新</w:t>
            </w:r>
          </w:p>
        </w:tc>
        <w:tc>
          <w:tcPr>
            <w:tcW w:w="3119" w:type="dxa"/>
            <w:vAlign w:val="center"/>
          </w:tcPr>
          <w:p w14:paraId="02C274E3">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人才岛建设指挥部办公室</w:t>
            </w:r>
          </w:p>
        </w:tc>
        <w:tc>
          <w:tcPr>
            <w:tcW w:w="7200" w:type="dxa"/>
            <w:vAlign w:val="center"/>
          </w:tcPr>
          <w:p w14:paraId="6120CA56">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21F8F6A">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江门人才岛全岛开发建设项目已列入广东省2019年重点项目，并列入粤港澳大湾区三年行动计划，目前江门人才岛项目开发建设全面加快推进。</w:t>
            </w:r>
          </w:p>
          <w:p w14:paraId="4D6C2E66">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1.已完善组织架构，并制定了一系列工作制度。</w:t>
            </w:r>
          </w:p>
          <w:p w14:paraId="7D534BC5">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2.已完成项目立项和项目招标工作。</w:t>
            </w:r>
          </w:p>
          <w:p w14:paraId="11242308">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3.已完成项目总体规划，江门市潮连岛PJ06-A地段和PJ06-D地段控规修改方案已经市规委会审议通过。潮连岛PJ06-B、PJ06-C、PJ06-E、PJ06-F地段的控规初步成果已出，已经完成公示，计划6月可报市规委会审议。</w:t>
            </w:r>
          </w:p>
          <w:p w14:paraId="10D23492">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4.确定2018年实施建设项目共三类18个，年度完成总投资25.82亿元。</w:t>
            </w:r>
          </w:p>
          <w:p w14:paraId="74D24DA9">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5.确定2019年计划完成投资50亿元，建设道路、水系、环岛公园等项目共64个，一季度已动工建设项目13个，总投资约25.1亿元，已有26个项目正在方案设计中。</w:t>
            </w:r>
          </w:p>
          <w:p w14:paraId="46187CE3">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6.产业规划和导入方面，已签署3个产业规划合同，目前正在积极研究制定产业导入正面清单。</w:t>
            </w:r>
          </w:p>
          <w:p w14:paraId="55A11BF3">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7.积极推动制定针对江门人才岛的“1+N”政策，其中《关于加快人才岛开发建设的实施意见》已完成第二轮征求意见，岛内人才政策、招商引资政策、产业政策、总部经济政策、土地出让政策等正在积极推动中。</w:t>
            </w:r>
          </w:p>
          <w:p w14:paraId="68FD1244">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8.土地收储方面，2017年已收储土地2835亩，2018年收储土地747亩，2019年计划开展岛内农用地全征收工作。</w:t>
            </w:r>
          </w:p>
          <w:p w14:paraId="4B01F269">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9.资金到位情况方面，截止2019年4月13日，项目公司共收到各股东资本金1.71664亿元。同时，融资工作正在加快推进，为打通融资渠道，指挥部办公室对当前融资方式及路径进行了多次研究讨论。</w:t>
            </w:r>
          </w:p>
        </w:tc>
      </w:tr>
      <w:tr w14:paraId="4DF4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496" w:type="dxa"/>
            <w:vMerge w:val="restart"/>
            <w:vAlign w:val="center"/>
          </w:tcPr>
          <w:p w14:paraId="56E01D63">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7CE6CD79">
            <w:pPr>
              <w:spacing w:line="300" w:lineRule="exact"/>
              <w:rPr>
                <w:rFonts w:ascii="仿宋_GB2312" w:hAnsi="宋体" w:eastAsia="仿宋_GB2312" w:cs="Times New Roman"/>
                <w:sz w:val="24"/>
                <w:szCs w:val="24"/>
              </w:rPr>
            </w:pPr>
            <w:r>
              <w:rPr>
                <w:rFonts w:hint="eastAsia" w:ascii="宋体" w:hAnsi="宋体" w:cs="Times New Roman"/>
                <w:sz w:val="24"/>
                <w:szCs w:val="24"/>
              </w:rPr>
              <w:t>*</w:t>
            </w:r>
            <w:r>
              <w:rPr>
                <w:rFonts w:hint="eastAsia" w:ascii="仿宋_GB2312" w:hAnsi="宋体" w:eastAsia="仿宋_GB2312" w:cs="Times New Roman"/>
                <w:sz w:val="24"/>
                <w:szCs w:val="24"/>
              </w:rPr>
              <w:t>加快滨江新区总部基地建设。</w:t>
            </w:r>
            <w:r>
              <w:rPr>
                <w:rFonts w:hint="eastAsia" w:ascii="仿宋_GB2312" w:hAnsi="宋体" w:eastAsia="仿宋_GB2312"/>
                <w:b/>
                <w:sz w:val="24"/>
                <w:szCs w:val="24"/>
              </w:rPr>
              <w:t>（牵头单位：区科工商务局）</w:t>
            </w:r>
          </w:p>
        </w:tc>
        <w:tc>
          <w:tcPr>
            <w:tcW w:w="1134" w:type="dxa"/>
            <w:vAlign w:val="center"/>
          </w:tcPr>
          <w:p w14:paraId="5B9EE2C8">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梁  朗</w:t>
            </w:r>
          </w:p>
        </w:tc>
        <w:tc>
          <w:tcPr>
            <w:tcW w:w="3119" w:type="dxa"/>
            <w:vAlign w:val="center"/>
          </w:tcPr>
          <w:p w14:paraId="621F4E8A">
            <w:pPr>
              <w:spacing w:line="300" w:lineRule="exact"/>
              <w:ind w:left="-107" w:leftChars="-51" w:right="-82" w:rightChars="-39"/>
              <w:jc w:val="center"/>
              <w:rPr>
                <w:rFonts w:ascii="仿宋_GB2312" w:hAnsi="宋体" w:eastAsia="仿宋_GB2312"/>
                <w:sz w:val="24"/>
                <w:szCs w:val="24"/>
              </w:rPr>
            </w:pPr>
            <w:r>
              <w:rPr>
                <w:rFonts w:hint="eastAsia" w:ascii="仿宋_GB2312" w:hAnsi="宋体" w:eastAsia="仿宋_GB2312"/>
                <w:sz w:val="24"/>
                <w:szCs w:val="24"/>
              </w:rPr>
              <w:t>区科工商务局</w:t>
            </w:r>
          </w:p>
          <w:p w14:paraId="6EC3DC22">
            <w:pPr>
              <w:spacing w:line="300" w:lineRule="exact"/>
              <w:ind w:left="-107" w:leftChars="-51" w:right="-82" w:rightChars="-39"/>
              <w:jc w:val="center"/>
              <w:rPr>
                <w:rFonts w:ascii="仿宋_GB2312" w:hAnsi="宋体" w:eastAsia="仿宋_GB2312"/>
                <w:sz w:val="24"/>
                <w:szCs w:val="24"/>
              </w:rPr>
            </w:pPr>
            <w:r>
              <w:rPr>
                <w:rFonts w:hint="eastAsia" w:ascii="仿宋_GB2312" w:hAnsi="宋体" w:eastAsia="仿宋_GB2312"/>
                <w:sz w:val="24"/>
                <w:szCs w:val="24"/>
              </w:rPr>
              <w:t>区自然资源局</w:t>
            </w:r>
          </w:p>
          <w:p w14:paraId="7BC1E9FE">
            <w:pPr>
              <w:spacing w:line="300" w:lineRule="exact"/>
              <w:ind w:left="-107" w:leftChars="-51" w:right="-82" w:rightChars="-39"/>
              <w:jc w:val="center"/>
              <w:rPr>
                <w:rFonts w:ascii="仿宋_GB2312" w:hAnsi="宋体" w:eastAsia="仿宋_GB2312"/>
                <w:sz w:val="24"/>
                <w:szCs w:val="24"/>
              </w:rPr>
            </w:pPr>
            <w:r>
              <w:rPr>
                <w:rFonts w:hint="eastAsia" w:ascii="仿宋_GB2312" w:hAnsi="宋体" w:eastAsia="仿宋_GB2312"/>
                <w:sz w:val="24"/>
                <w:szCs w:val="24"/>
              </w:rPr>
              <w:t>区土储中心</w:t>
            </w:r>
          </w:p>
          <w:p w14:paraId="7463132C">
            <w:pPr>
              <w:spacing w:line="300" w:lineRule="exact"/>
              <w:ind w:left="-107" w:leftChars="-51" w:right="-82" w:rightChars="-39"/>
              <w:jc w:val="center"/>
              <w:rPr>
                <w:rFonts w:ascii="仿宋_GB2312" w:hAnsi="宋体" w:eastAsia="仿宋_GB2312"/>
                <w:sz w:val="24"/>
                <w:szCs w:val="24"/>
              </w:rPr>
            </w:pPr>
            <w:r>
              <w:rPr>
                <w:rFonts w:hint="eastAsia" w:ascii="仿宋_GB2312" w:hAnsi="宋体" w:eastAsia="仿宋_GB2312"/>
                <w:sz w:val="24"/>
                <w:szCs w:val="24"/>
              </w:rPr>
              <w:t>滨江新区管委会</w:t>
            </w:r>
          </w:p>
        </w:tc>
        <w:tc>
          <w:tcPr>
            <w:tcW w:w="7200" w:type="dxa"/>
            <w:vAlign w:val="center"/>
          </w:tcPr>
          <w:p w14:paraId="7DDBFB7A">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9D27C6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1.已将原来的分区分片开发模式向整体开发模式转变，对A、B地块原来分散的15个地块进行统一打包，连片规划、一体招商、一体开发、一体经营。</w:t>
            </w:r>
          </w:p>
          <w:p w14:paraId="18931B0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2.正在编制C地块出让条件，便于余下地块挂牌工作顺利进行。</w:t>
            </w:r>
          </w:p>
          <w:p w14:paraId="1FA6D6F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3.已收储位于华南路以南、体育路以东地段的新昌留用地125亩，同时签订《留用地折现补偿协议》并支付首期补偿款。</w:t>
            </w:r>
          </w:p>
        </w:tc>
      </w:tr>
      <w:tr w14:paraId="0F4B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496" w:type="dxa"/>
            <w:vMerge w:val="continue"/>
            <w:vAlign w:val="center"/>
          </w:tcPr>
          <w:p w14:paraId="427C1016">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39336190">
            <w:pPr>
              <w:spacing w:line="300" w:lineRule="exact"/>
              <w:rPr>
                <w:rFonts w:ascii="宋体" w:hAnsi="宋体" w:cs="Times New Roman"/>
                <w:sz w:val="24"/>
                <w:szCs w:val="24"/>
              </w:rPr>
            </w:pPr>
            <w:r>
              <w:rPr>
                <w:rFonts w:hint="eastAsia" w:ascii="宋体" w:hAnsi="宋体" w:cs="Times New Roman"/>
                <w:sz w:val="24"/>
                <w:szCs w:val="24"/>
              </w:rPr>
              <w:t>*</w:t>
            </w:r>
            <w:r>
              <w:rPr>
                <w:rFonts w:hint="eastAsia" w:ascii="仿宋_GB2312" w:hAnsi="宋体" w:eastAsia="仿宋_GB2312" w:cs="Times New Roman"/>
                <w:sz w:val="24"/>
                <w:szCs w:val="24"/>
              </w:rPr>
              <w:t>发挥滨江体育中心和珠西国际会展中心的作用，大力发展会展经济。</w:t>
            </w:r>
            <w:r>
              <w:rPr>
                <w:rFonts w:hint="eastAsia" w:ascii="仿宋_GB2312" w:hAnsi="宋体" w:eastAsia="仿宋_GB2312"/>
                <w:b/>
                <w:sz w:val="24"/>
                <w:szCs w:val="24"/>
              </w:rPr>
              <w:t>（牵头单位：区科工商务局）</w:t>
            </w:r>
          </w:p>
        </w:tc>
        <w:tc>
          <w:tcPr>
            <w:tcW w:w="1134" w:type="dxa"/>
            <w:vAlign w:val="center"/>
          </w:tcPr>
          <w:p w14:paraId="34F56778">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梁  朗</w:t>
            </w:r>
          </w:p>
        </w:tc>
        <w:tc>
          <w:tcPr>
            <w:tcW w:w="3119" w:type="dxa"/>
            <w:vAlign w:val="center"/>
          </w:tcPr>
          <w:p w14:paraId="649A8FB3">
            <w:pPr>
              <w:spacing w:line="300" w:lineRule="exact"/>
              <w:ind w:left="-107" w:leftChars="-51" w:right="-82" w:rightChars="-39"/>
              <w:jc w:val="center"/>
              <w:rPr>
                <w:rFonts w:ascii="仿宋_GB2312" w:hAnsi="宋体" w:eastAsia="仿宋_GB2312"/>
                <w:sz w:val="24"/>
                <w:szCs w:val="24"/>
              </w:rPr>
            </w:pPr>
            <w:r>
              <w:rPr>
                <w:rFonts w:hint="eastAsia" w:ascii="仿宋_GB2312" w:hAnsi="宋体" w:eastAsia="仿宋_GB2312"/>
                <w:sz w:val="24"/>
                <w:szCs w:val="24"/>
              </w:rPr>
              <w:t>区科工商务局</w:t>
            </w:r>
          </w:p>
          <w:p w14:paraId="710E1862">
            <w:pPr>
              <w:spacing w:line="300" w:lineRule="exact"/>
              <w:ind w:left="-107" w:leftChars="-51" w:right="-82" w:rightChars="-39"/>
              <w:jc w:val="center"/>
              <w:rPr>
                <w:rFonts w:ascii="仿宋_GB2312" w:hAnsi="宋体" w:eastAsia="仿宋_GB2312"/>
                <w:sz w:val="24"/>
                <w:szCs w:val="24"/>
              </w:rPr>
            </w:pPr>
            <w:r>
              <w:rPr>
                <w:rFonts w:hint="eastAsia" w:ascii="仿宋_GB2312" w:hAnsi="宋体" w:eastAsia="仿宋_GB2312"/>
                <w:sz w:val="24"/>
                <w:szCs w:val="24"/>
              </w:rPr>
              <w:t>区文化广电旅游体育局</w:t>
            </w:r>
          </w:p>
        </w:tc>
        <w:tc>
          <w:tcPr>
            <w:tcW w:w="7200" w:type="dxa"/>
            <w:vAlign w:val="center"/>
          </w:tcPr>
          <w:p w14:paraId="00A013A8">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B7C0BA8">
            <w:pPr>
              <w:spacing w:line="3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1.截至3月底，蓬江区举办春季车展、童博会等会展活动共计5场。</w:t>
            </w:r>
          </w:p>
          <w:p w14:paraId="6F46294B">
            <w:pPr>
              <w:spacing w:line="3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2.</w:t>
            </w:r>
            <w:r>
              <w:rPr>
                <w:rFonts w:hint="eastAsia" w:ascii="仿宋_GB2312" w:eastAsia="仿宋_GB2312"/>
              </w:rPr>
              <w:t>下一步将</w:t>
            </w:r>
            <w:r>
              <w:rPr>
                <w:rFonts w:hint="eastAsia" w:ascii="仿宋_GB2312" w:hAnsi="宋体" w:eastAsia="仿宋_GB2312" w:cs="Times New Roman"/>
                <w:sz w:val="24"/>
                <w:szCs w:val="24"/>
              </w:rPr>
              <w:t>配合举办世界排球联赛、中国男子手球精英赛、全国少年儿童跳水锦标赛、全国女排锦标赛等大型体育赛事。</w:t>
            </w:r>
          </w:p>
        </w:tc>
      </w:tr>
      <w:tr w14:paraId="18CD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496" w:type="dxa"/>
            <w:vMerge w:val="continue"/>
            <w:vAlign w:val="center"/>
          </w:tcPr>
          <w:p w14:paraId="2F8852D3">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34BD2CE9">
            <w:pPr>
              <w:spacing w:line="300" w:lineRule="exact"/>
              <w:rPr>
                <w:rFonts w:ascii="宋体" w:hAnsi="宋体" w:cs="Times New Roman"/>
                <w:sz w:val="24"/>
                <w:szCs w:val="24"/>
              </w:rPr>
            </w:pPr>
            <w:r>
              <w:rPr>
                <w:rFonts w:hint="eastAsia" w:ascii="宋体" w:hAnsi="宋体" w:cs="Times New Roman"/>
                <w:sz w:val="24"/>
                <w:szCs w:val="24"/>
              </w:rPr>
              <w:t>*</w:t>
            </w:r>
            <w:r>
              <w:rPr>
                <w:rFonts w:hint="eastAsia" w:ascii="仿宋_GB2312" w:hAnsi="宋体" w:eastAsia="仿宋_GB2312" w:cs="Times New Roman"/>
                <w:sz w:val="24"/>
                <w:szCs w:val="24"/>
              </w:rPr>
              <w:t>促进文化旅游体育产业融合发展。</w:t>
            </w:r>
            <w:r>
              <w:rPr>
                <w:rFonts w:hint="eastAsia" w:ascii="仿宋_GB2312" w:hAnsi="宋体" w:eastAsia="仿宋_GB2312"/>
                <w:b/>
                <w:sz w:val="24"/>
                <w:szCs w:val="24"/>
              </w:rPr>
              <w:t>（牵头单位：区文化广电旅游体育局）</w:t>
            </w:r>
          </w:p>
        </w:tc>
        <w:tc>
          <w:tcPr>
            <w:tcW w:w="1134" w:type="dxa"/>
            <w:vAlign w:val="center"/>
          </w:tcPr>
          <w:p w14:paraId="131114A6">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梁凤琼</w:t>
            </w:r>
          </w:p>
        </w:tc>
        <w:tc>
          <w:tcPr>
            <w:tcW w:w="3119" w:type="dxa"/>
            <w:vAlign w:val="center"/>
          </w:tcPr>
          <w:p w14:paraId="082883BD">
            <w:pPr>
              <w:spacing w:line="300" w:lineRule="exact"/>
              <w:ind w:left="-107" w:leftChars="-51" w:right="-82" w:rightChars="-39"/>
              <w:jc w:val="center"/>
              <w:rPr>
                <w:rFonts w:ascii="仿宋_GB2312" w:hAnsi="宋体" w:eastAsia="仿宋_GB2312"/>
                <w:sz w:val="24"/>
                <w:szCs w:val="24"/>
              </w:rPr>
            </w:pPr>
            <w:r>
              <w:rPr>
                <w:rFonts w:hint="eastAsia" w:ascii="仿宋_GB2312" w:hAnsi="宋体" w:eastAsia="仿宋_GB2312"/>
                <w:sz w:val="24"/>
                <w:szCs w:val="24"/>
              </w:rPr>
              <w:t>区文化广电旅游体育局</w:t>
            </w:r>
          </w:p>
        </w:tc>
        <w:tc>
          <w:tcPr>
            <w:tcW w:w="7200" w:type="dxa"/>
            <w:vAlign w:val="center"/>
          </w:tcPr>
          <w:p w14:paraId="5C7572EF">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AD7FBD7">
            <w:pPr>
              <w:spacing w:line="3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1.中国侨镇项目基本已落实第一期用地,面积80亩。</w:t>
            </w:r>
          </w:p>
          <w:p w14:paraId="18FC69CE">
            <w:pPr>
              <w:spacing w:line="3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2.先后邀请深圳华侨城集团、保利华南实业有限公司、大龙集团古兜旅游集团有限公司到蓬江考察洽谈，加大文旅招商引资力度。</w:t>
            </w:r>
          </w:p>
          <w:p w14:paraId="7335994F">
            <w:pPr>
              <w:spacing w:line="3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3.依托珠西会展中心和体育中心，成功举办许冠杰谭咏麟演唱会、李克勤演唱会等表演，计划将举办2019世界排球联赛（男子）和2019世界排球联赛（女子）等赛事。</w:t>
            </w:r>
          </w:p>
        </w:tc>
      </w:tr>
      <w:tr w14:paraId="727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9" w:hRule="atLeast"/>
          <w:jc w:val="center"/>
        </w:trPr>
        <w:tc>
          <w:tcPr>
            <w:tcW w:w="496" w:type="dxa"/>
            <w:vAlign w:val="center"/>
          </w:tcPr>
          <w:p w14:paraId="2243EB1B">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0B226819">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健全社会矛盾纠纷预防和多元化解机制，推进“全科网格”服务管理体系建设，着力把“鹤城模式”打造成“枫桥经验”的江门样本。</w:t>
            </w:r>
            <w:r>
              <w:rPr>
                <w:rFonts w:hint="eastAsia" w:ascii="仿宋_GB2312" w:hAnsi="宋体" w:eastAsia="仿宋_GB2312"/>
                <w:b/>
                <w:sz w:val="24"/>
                <w:szCs w:val="24"/>
              </w:rPr>
              <w:t>（牵头单位：区委政法委）</w:t>
            </w:r>
          </w:p>
        </w:tc>
        <w:tc>
          <w:tcPr>
            <w:tcW w:w="1134" w:type="dxa"/>
            <w:vAlign w:val="center"/>
          </w:tcPr>
          <w:p w14:paraId="16F304A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林伟勤</w:t>
            </w:r>
          </w:p>
        </w:tc>
        <w:tc>
          <w:tcPr>
            <w:tcW w:w="3119" w:type="dxa"/>
            <w:vAlign w:val="center"/>
          </w:tcPr>
          <w:p w14:paraId="68F6422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区委政法委</w:t>
            </w:r>
          </w:p>
          <w:p w14:paraId="71734A85">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区公安分局</w:t>
            </w:r>
          </w:p>
          <w:p w14:paraId="75153A5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区政务服务数据管理局</w:t>
            </w:r>
          </w:p>
          <w:p w14:paraId="7831B34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区财政局</w:t>
            </w:r>
          </w:p>
          <w:p w14:paraId="74172B63">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区直有关单位</w:t>
            </w:r>
          </w:p>
          <w:p w14:paraId="52ECA1B5">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200" w:type="dxa"/>
            <w:vAlign w:val="center"/>
          </w:tcPr>
          <w:p w14:paraId="1222E3DB">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9ECC39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区委政法委已转发省委政法委《关于建立矛盾纠纷多元化解衔接机制的通知》到各镇、街和区政法相关部门，并印发通知要求上述单位对照文件内容及要求，认真梳理，整理有关工作机制及做法。同时，制定并印发《关于成立江门市蓬江区社会治理综合指挥平台建设推进工作小组的通知》（江蓬政法〔2019〕15号），工作专班针对试点的实际，主要是入网格事项需求、视频监控、门禁+视频、工作机制等方面内容。目前正与区公安分局、应急管理局、三防办等单位进行调研和对接，梳理入格事项和相关工作机制。</w:t>
            </w:r>
          </w:p>
          <w:p w14:paraId="64365AF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2.已转发省委政法委《关于建立矛盾纠纷多元化解衔接机制的通知》到各镇、街和区政法相关部门。</w:t>
            </w:r>
          </w:p>
          <w:p w14:paraId="6E0FCE1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3.于2月印发《关于提前做好完善矛盾纠纷多元化解衔接机制座谈会工作准备的通知》，要求各镇、街和区政法相关部门对照文件内容及要求，认真梳理，整理有关工作机制及做法。</w:t>
            </w:r>
          </w:p>
          <w:p w14:paraId="2E491E0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4.结合区社会治理综合指挥平台项目和全科网格化项目，健全主动排查矛盾纠纷机制，分别于2月和3月到浙江湖州、枫桥、杭州、深圳等地开展调研，了解全科网格化和综合指挥平台的建设经验及工作机制。</w:t>
            </w:r>
          </w:p>
          <w:p w14:paraId="050D0EB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5.4月份，分别到区公安、应急、棠下、白沙等单位开展调研，确定社会治理综合指挥平台项目和全科网格化项目系统平台需求，加快平台建设进度。</w:t>
            </w:r>
          </w:p>
        </w:tc>
      </w:tr>
      <w:tr w14:paraId="79FB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6" w:type="dxa"/>
            <w:vMerge w:val="restart"/>
            <w:vAlign w:val="center"/>
          </w:tcPr>
          <w:p w14:paraId="41BF10AB">
            <w:pPr>
              <w:numPr>
                <w:ilvl w:val="0"/>
                <w:numId w:val="1"/>
              </w:numPr>
              <w:spacing w:line="300" w:lineRule="exact"/>
              <w:rPr>
                <w:rFonts w:ascii="仿宋_GB2312" w:hAnsi="黑体" w:eastAsia="仿宋_GB2312" w:cs="仿宋_GB2312"/>
                <w:sz w:val="24"/>
                <w:szCs w:val="24"/>
              </w:rPr>
            </w:pPr>
          </w:p>
        </w:tc>
        <w:tc>
          <w:tcPr>
            <w:tcW w:w="3476" w:type="dxa"/>
            <w:gridSpan w:val="2"/>
            <w:vMerge w:val="restart"/>
            <w:vAlign w:val="center"/>
          </w:tcPr>
          <w:p w14:paraId="71A671DE">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高质量建设江门人才岛，完成年度投资50亿元，大力推进环岛景观带升级改造、国际教育培训中心、人才公寓等项目建设。</w:t>
            </w:r>
            <w:r>
              <w:rPr>
                <w:rFonts w:hint="eastAsia" w:ascii="仿宋_GB2312" w:hAnsi="宋体" w:eastAsia="仿宋_GB2312"/>
                <w:b/>
                <w:sz w:val="24"/>
                <w:szCs w:val="24"/>
              </w:rPr>
              <w:t>（牵头单位：人才岛建设指挥部办公室）</w:t>
            </w:r>
          </w:p>
        </w:tc>
        <w:tc>
          <w:tcPr>
            <w:tcW w:w="1134" w:type="dxa"/>
            <w:vMerge w:val="restart"/>
            <w:vAlign w:val="center"/>
          </w:tcPr>
          <w:p w14:paraId="75BF6EC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黎国新</w:t>
            </w:r>
          </w:p>
        </w:tc>
        <w:tc>
          <w:tcPr>
            <w:tcW w:w="3119" w:type="dxa"/>
            <w:vMerge w:val="restart"/>
            <w:vAlign w:val="center"/>
          </w:tcPr>
          <w:p w14:paraId="0BF83BF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人才岛建设指挥部办公室</w:t>
            </w:r>
          </w:p>
        </w:tc>
        <w:tc>
          <w:tcPr>
            <w:tcW w:w="7200" w:type="dxa"/>
            <w:vMerge w:val="restart"/>
            <w:vAlign w:val="center"/>
          </w:tcPr>
          <w:p w14:paraId="13EBAAC4">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519779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1.全岛首期“五化”工程共投资1000多万元，已完成并投入使用，有效提升全岛环境；</w:t>
            </w:r>
          </w:p>
          <w:p w14:paraId="5AD5262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2.指挥部驻岛办公室二期建设工程已完成并投入使用，目前正对驻岛办公室进行整体提升，包括对外立面和周边环境进行改造，以及对会议体统进行升级。项目公司和总承包部办公室已落成，实现驻岛办公。</w:t>
            </w:r>
          </w:p>
          <w:p w14:paraId="62F897A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3.2019年计划建设项目64个，其中预备项目7个，总投资超50亿元。3月已动工建设项目13个，其中环岛公园样板工程基础建设部分已完成75%工程量，正进行景观绿化工程和配套工程建设；特成沙（人才公寓项目）已完成场地回填土59万方，排水完成30%；A片区征地工作已这完成，目前正开展收地工作，已收地280亩，潮连大道、振兴大道、A片区环岛公园、F片区环岛公园、F片区水系改造工程、展览馆已全面动工；全岛风貌整治提升改造工程、潮中路、青年路、祥和路等的勘察、方案设计等工作已完成，正在深化施工图设计，施工单位已进场开展清表、清杂等工作。</w:t>
            </w:r>
          </w:p>
        </w:tc>
      </w:tr>
      <w:tr w14:paraId="55A1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96" w:type="dxa"/>
            <w:vMerge w:val="continue"/>
            <w:vAlign w:val="center"/>
          </w:tcPr>
          <w:p w14:paraId="6110F354">
            <w:pPr>
              <w:numPr>
                <w:ilvl w:val="0"/>
                <w:numId w:val="1"/>
              </w:numPr>
              <w:spacing w:line="300" w:lineRule="exact"/>
              <w:rPr>
                <w:rFonts w:ascii="仿宋_GB2312" w:hAnsi="黑体" w:eastAsia="仿宋_GB2312" w:cs="仿宋_GB2312"/>
                <w:sz w:val="24"/>
                <w:szCs w:val="24"/>
              </w:rPr>
            </w:pPr>
          </w:p>
        </w:tc>
        <w:tc>
          <w:tcPr>
            <w:tcW w:w="3476" w:type="dxa"/>
            <w:gridSpan w:val="2"/>
            <w:vMerge w:val="continue"/>
            <w:vAlign w:val="center"/>
          </w:tcPr>
          <w:p w14:paraId="16F74444">
            <w:pPr>
              <w:spacing w:line="300" w:lineRule="exact"/>
              <w:rPr>
                <w:rFonts w:ascii="仿宋_GB2312" w:hAnsi="宋体" w:eastAsia="仿宋_GB2312" w:cs="Times New Roman"/>
                <w:sz w:val="24"/>
                <w:szCs w:val="24"/>
              </w:rPr>
            </w:pPr>
          </w:p>
        </w:tc>
        <w:tc>
          <w:tcPr>
            <w:tcW w:w="1134" w:type="dxa"/>
            <w:vMerge w:val="continue"/>
            <w:vAlign w:val="center"/>
          </w:tcPr>
          <w:p w14:paraId="6E2C8AA3">
            <w:pPr>
              <w:spacing w:line="300" w:lineRule="exact"/>
              <w:jc w:val="center"/>
              <w:rPr>
                <w:rFonts w:ascii="仿宋_GB2312" w:hAnsi="宋体" w:eastAsia="仿宋_GB2312" w:cs="Times New Roman"/>
                <w:sz w:val="24"/>
                <w:szCs w:val="24"/>
              </w:rPr>
            </w:pPr>
          </w:p>
        </w:tc>
        <w:tc>
          <w:tcPr>
            <w:tcW w:w="3119" w:type="dxa"/>
            <w:vMerge w:val="continue"/>
            <w:vAlign w:val="center"/>
          </w:tcPr>
          <w:p w14:paraId="5FBD2E2A">
            <w:pPr>
              <w:spacing w:line="300" w:lineRule="exact"/>
              <w:ind w:left="-107" w:leftChars="-51" w:right="-82" w:rightChars="-39"/>
              <w:jc w:val="center"/>
              <w:rPr>
                <w:rFonts w:ascii="仿宋_GB2312" w:hAnsi="黑体" w:eastAsia="仿宋_GB2312" w:cs="Times New Roman"/>
                <w:sz w:val="24"/>
                <w:szCs w:val="24"/>
              </w:rPr>
            </w:pPr>
          </w:p>
        </w:tc>
        <w:tc>
          <w:tcPr>
            <w:tcW w:w="7200" w:type="dxa"/>
            <w:vMerge w:val="continue"/>
            <w:vAlign w:val="center"/>
          </w:tcPr>
          <w:p w14:paraId="220E7C17">
            <w:pPr>
              <w:spacing w:line="300" w:lineRule="exact"/>
              <w:ind w:firstLine="480" w:firstLineChars="200"/>
              <w:rPr>
                <w:rFonts w:ascii="仿宋_GB2312" w:hAnsi="黑体" w:eastAsia="仿宋_GB2312" w:cs="Times New Roman"/>
                <w:sz w:val="24"/>
                <w:szCs w:val="24"/>
              </w:rPr>
            </w:pPr>
          </w:p>
        </w:tc>
      </w:tr>
      <w:tr w14:paraId="7351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5" w:hRule="atLeast"/>
          <w:jc w:val="center"/>
        </w:trPr>
        <w:tc>
          <w:tcPr>
            <w:tcW w:w="496" w:type="dxa"/>
            <w:vMerge w:val="continue"/>
            <w:vAlign w:val="center"/>
          </w:tcPr>
          <w:p w14:paraId="719EA6DC">
            <w:pPr>
              <w:numPr>
                <w:ilvl w:val="0"/>
                <w:numId w:val="1"/>
              </w:numPr>
              <w:spacing w:line="300" w:lineRule="exact"/>
              <w:rPr>
                <w:rFonts w:ascii="仿宋_GB2312" w:hAnsi="黑体" w:eastAsia="仿宋_GB2312" w:cs="仿宋_GB2312"/>
                <w:sz w:val="24"/>
                <w:szCs w:val="24"/>
              </w:rPr>
            </w:pPr>
          </w:p>
        </w:tc>
        <w:tc>
          <w:tcPr>
            <w:tcW w:w="3476" w:type="dxa"/>
            <w:gridSpan w:val="2"/>
            <w:vMerge w:val="continue"/>
            <w:vAlign w:val="center"/>
          </w:tcPr>
          <w:p w14:paraId="52EDD6DA">
            <w:pPr>
              <w:spacing w:line="300" w:lineRule="exact"/>
              <w:rPr>
                <w:rFonts w:ascii="仿宋_GB2312" w:hAnsi="宋体" w:eastAsia="仿宋_GB2312" w:cs="Times New Roman"/>
                <w:sz w:val="24"/>
                <w:szCs w:val="24"/>
              </w:rPr>
            </w:pPr>
          </w:p>
        </w:tc>
        <w:tc>
          <w:tcPr>
            <w:tcW w:w="1134" w:type="dxa"/>
            <w:vMerge w:val="continue"/>
            <w:vAlign w:val="center"/>
          </w:tcPr>
          <w:p w14:paraId="3F790910">
            <w:pPr>
              <w:spacing w:line="300" w:lineRule="exact"/>
              <w:jc w:val="center"/>
              <w:rPr>
                <w:rFonts w:ascii="仿宋_GB2312" w:hAnsi="宋体" w:eastAsia="仿宋_GB2312" w:cs="Times New Roman"/>
                <w:sz w:val="24"/>
                <w:szCs w:val="24"/>
              </w:rPr>
            </w:pPr>
          </w:p>
        </w:tc>
        <w:tc>
          <w:tcPr>
            <w:tcW w:w="3119" w:type="dxa"/>
            <w:vMerge w:val="continue"/>
            <w:vAlign w:val="center"/>
          </w:tcPr>
          <w:p w14:paraId="7FAD7B22">
            <w:pPr>
              <w:spacing w:line="300" w:lineRule="exact"/>
              <w:ind w:left="-107" w:leftChars="-51" w:right="-82" w:rightChars="-39"/>
              <w:jc w:val="center"/>
              <w:rPr>
                <w:rFonts w:ascii="仿宋_GB2312" w:hAnsi="黑体" w:eastAsia="仿宋_GB2312" w:cs="Times New Roman"/>
                <w:sz w:val="24"/>
                <w:szCs w:val="24"/>
              </w:rPr>
            </w:pPr>
          </w:p>
        </w:tc>
        <w:tc>
          <w:tcPr>
            <w:tcW w:w="7200" w:type="dxa"/>
            <w:vMerge w:val="continue"/>
            <w:vAlign w:val="center"/>
          </w:tcPr>
          <w:p w14:paraId="01398820">
            <w:pPr>
              <w:spacing w:line="300" w:lineRule="exact"/>
              <w:ind w:firstLine="480" w:firstLineChars="200"/>
              <w:rPr>
                <w:rFonts w:ascii="仿宋_GB2312" w:hAnsi="黑体" w:eastAsia="仿宋_GB2312" w:cs="Times New Roman"/>
                <w:sz w:val="24"/>
                <w:szCs w:val="24"/>
              </w:rPr>
            </w:pPr>
          </w:p>
        </w:tc>
      </w:tr>
      <w:tr w14:paraId="369C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96" w:type="dxa"/>
            <w:vAlign w:val="center"/>
          </w:tcPr>
          <w:p w14:paraId="2960344E">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09113045">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加快推进江门市档案中心项目建设。</w:t>
            </w:r>
            <w:r>
              <w:rPr>
                <w:rFonts w:hint="eastAsia" w:ascii="仿宋_GB2312" w:hAnsi="宋体" w:eastAsia="仿宋_GB2312"/>
                <w:b/>
                <w:sz w:val="24"/>
                <w:szCs w:val="24"/>
              </w:rPr>
              <w:t>（牵头单位：区国有资产监督管理局）</w:t>
            </w:r>
          </w:p>
        </w:tc>
        <w:tc>
          <w:tcPr>
            <w:tcW w:w="1134" w:type="dxa"/>
            <w:vAlign w:val="center"/>
          </w:tcPr>
          <w:p w14:paraId="363FAE43">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Align w:val="center"/>
          </w:tcPr>
          <w:p w14:paraId="153ADEC7">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区建管中心</w:t>
            </w:r>
          </w:p>
        </w:tc>
        <w:tc>
          <w:tcPr>
            <w:tcW w:w="7200" w:type="dxa"/>
            <w:vAlign w:val="center"/>
          </w:tcPr>
          <w:p w14:paraId="080988D0">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75AE5F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1.区建管中心已于2019年4月15日将规划方案报区自然资源局审批，审批通过后开展初步设计工作。</w:t>
            </w:r>
          </w:p>
          <w:p w14:paraId="7FCD47B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2.施工现场场地平整已完成60%，勘探工作完成28%，围挡已进行全封闭设立。</w:t>
            </w:r>
          </w:p>
        </w:tc>
      </w:tr>
      <w:tr w14:paraId="196F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496" w:type="dxa"/>
            <w:vAlign w:val="center"/>
          </w:tcPr>
          <w:p w14:paraId="2DB545FB">
            <w:pPr>
              <w:numPr>
                <w:ilvl w:val="0"/>
                <w:numId w:val="1"/>
              </w:numPr>
              <w:spacing w:line="300" w:lineRule="exact"/>
              <w:rPr>
                <w:rFonts w:ascii="仿宋_GB2312" w:hAnsi="黑体" w:eastAsia="仿宋_GB2312" w:cs="仿宋_GB2312"/>
                <w:sz w:val="24"/>
                <w:szCs w:val="24"/>
              </w:rPr>
            </w:pPr>
          </w:p>
        </w:tc>
        <w:tc>
          <w:tcPr>
            <w:tcW w:w="1270" w:type="dxa"/>
            <w:vAlign w:val="center"/>
          </w:tcPr>
          <w:p w14:paraId="423759C0">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完善各市（区）湿地公园、森林公园的建设。</w:t>
            </w:r>
          </w:p>
        </w:tc>
        <w:tc>
          <w:tcPr>
            <w:tcW w:w="2206" w:type="dxa"/>
            <w:vAlign w:val="center"/>
          </w:tcPr>
          <w:p w14:paraId="680D9344">
            <w:pPr>
              <w:spacing w:line="300" w:lineRule="exact"/>
              <w:rPr>
                <w:rFonts w:ascii="仿宋_GB2312" w:hAnsi="宋体" w:eastAsia="仿宋_GB2312" w:cs="Times New Roman"/>
                <w:sz w:val="24"/>
                <w:szCs w:val="24"/>
              </w:rPr>
            </w:pPr>
            <w:r>
              <w:rPr>
                <w:rFonts w:hint="eastAsia" w:ascii="仿宋_GB2312" w:hAnsi="宋体" w:eastAsia="仿宋_GB2312"/>
                <w:sz w:val="24"/>
                <w:szCs w:val="24"/>
              </w:rPr>
              <w:t>（1）蓬江区和江海区各建成一个区级湿地公园。</w:t>
            </w:r>
            <w:r>
              <w:rPr>
                <w:rFonts w:hint="eastAsia" w:ascii="仿宋_GB2312" w:hAnsi="宋体" w:eastAsia="仿宋_GB2312"/>
                <w:b/>
                <w:sz w:val="24"/>
                <w:szCs w:val="24"/>
              </w:rPr>
              <w:t>（牵头单位：区自然资源局）</w:t>
            </w:r>
          </w:p>
        </w:tc>
        <w:tc>
          <w:tcPr>
            <w:tcW w:w="1134" w:type="dxa"/>
            <w:vAlign w:val="center"/>
          </w:tcPr>
          <w:p w14:paraId="34BE756B">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6B8A5571">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区自然资源局</w:t>
            </w:r>
          </w:p>
        </w:tc>
        <w:tc>
          <w:tcPr>
            <w:tcW w:w="7200" w:type="dxa"/>
            <w:vAlign w:val="center"/>
          </w:tcPr>
          <w:p w14:paraId="678BF859">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5CA7B43">
            <w:pPr>
              <w:spacing w:line="300" w:lineRule="exact"/>
              <w:ind w:firstLine="600" w:firstLineChars="250"/>
              <w:rPr>
                <w:rFonts w:ascii="仿宋_GB2312" w:hAnsi="黑体" w:eastAsia="仿宋_GB2312" w:cs="Times New Roman"/>
                <w:sz w:val="24"/>
                <w:szCs w:val="24"/>
              </w:rPr>
            </w:pPr>
            <w:r>
              <w:rPr>
                <w:rFonts w:hint="eastAsia" w:ascii="仿宋_GB2312" w:hAnsi="黑体" w:eastAsia="仿宋_GB2312" w:cs="Times New Roman"/>
                <w:sz w:val="24"/>
                <w:szCs w:val="24"/>
              </w:rPr>
              <w:t>截至3月底，已将《江门市蓬江区潮连小海河湿地公园总体规划（2016-2020）》（征求意见稿）发送至潮连街征求意见，待《江门人才岛全岛水系规划》印发后，结合该规划方案，对《江门市蓬江区潮连小海河湿地公园总体规划（2016-2020）》进行修改完善，并按照规划实施建设。</w:t>
            </w:r>
          </w:p>
        </w:tc>
      </w:tr>
      <w:tr w14:paraId="1C2B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496" w:type="dxa"/>
            <w:vAlign w:val="center"/>
          </w:tcPr>
          <w:p w14:paraId="2FD7C6B6">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2FA3DE3F">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推进生态宜居美丽乡村示范创建。</w:t>
            </w:r>
            <w:r>
              <w:rPr>
                <w:rFonts w:hint="eastAsia" w:ascii="仿宋_GB2312" w:hAnsi="宋体" w:eastAsia="仿宋_GB2312"/>
                <w:b/>
                <w:sz w:val="24"/>
                <w:szCs w:val="24"/>
              </w:rPr>
              <w:t>（牵头单位：区农业农村和水利局）</w:t>
            </w:r>
          </w:p>
        </w:tc>
        <w:tc>
          <w:tcPr>
            <w:tcW w:w="1134" w:type="dxa"/>
            <w:vAlign w:val="center"/>
          </w:tcPr>
          <w:p w14:paraId="33DADDD5">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1FE87452">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区农业农村和水利局</w:t>
            </w:r>
          </w:p>
          <w:p w14:paraId="3272F06B">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区城市管理和综合执法局</w:t>
            </w:r>
          </w:p>
          <w:p w14:paraId="73EE9D73">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区住房城乡建设局</w:t>
            </w:r>
          </w:p>
          <w:p w14:paraId="28FF6DCC">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区文化广电旅游体育局</w:t>
            </w:r>
          </w:p>
          <w:p w14:paraId="7ADFA7C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区发展和改革局</w:t>
            </w:r>
          </w:p>
          <w:p w14:paraId="7138084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区自然资源局</w:t>
            </w:r>
          </w:p>
          <w:p w14:paraId="568B422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区科工商务局</w:t>
            </w:r>
          </w:p>
          <w:p w14:paraId="5C277CE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区环卫局</w:t>
            </w:r>
          </w:p>
          <w:p w14:paraId="4939DC3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区文明办</w:t>
            </w:r>
          </w:p>
          <w:p w14:paraId="17A961C9">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200" w:type="dxa"/>
            <w:vAlign w:val="center"/>
          </w:tcPr>
          <w:p w14:paraId="03BDDB28">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5B40F6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1.制定特色精品村及美丽宜居村的验收标准，即“八个最优”和“五个一”，并确定具体创建名单，明确各具体任务、时间节点及指导单位。</w:t>
            </w:r>
          </w:p>
          <w:p w14:paraId="35B257D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2.4个区级示范村，已基本完成美丽乡村品质提升规划（初稿），并计划按规定对工程开展承发包。</w:t>
            </w:r>
          </w:p>
          <w:p w14:paraId="0A979531">
            <w:pPr>
              <w:spacing w:line="300" w:lineRule="exact"/>
              <w:ind w:firstLine="480" w:firstLineChars="200"/>
              <w:rPr>
                <w:rFonts w:ascii="仿宋_GB2312" w:hAnsi="仿宋_GB2312" w:eastAsia="仿宋_GB2312" w:cs="仿宋_GB2312"/>
                <w:sz w:val="24"/>
                <w:szCs w:val="24"/>
              </w:rPr>
            </w:pPr>
            <w:r>
              <w:rPr>
                <w:rFonts w:hint="eastAsia" w:ascii="仿宋_GB2312" w:hAnsi="黑体" w:eastAsia="仿宋_GB2312" w:cs="Times New Roman"/>
                <w:sz w:val="24"/>
                <w:szCs w:val="24"/>
              </w:rPr>
              <w:t>3.已形成挂点结对工作机制，建立起区四套领导班子成员一人抓一个示范点、区直部门结对一个村（居）、各镇街领导班子、驻村工作组挂点辖区村（居）的工作挂点机制</w:t>
            </w:r>
            <w:r>
              <w:rPr>
                <w:rFonts w:hint="eastAsia" w:ascii="仿宋_GB2312" w:hAnsi="仿宋_GB2312" w:eastAsia="仿宋_GB2312" w:cs="仿宋_GB2312"/>
                <w:sz w:val="24"/>
                <w:szCs w:val="24"/>
              </w:rPr>
              <w:t>。</w:t>
            </w:r>
          </w:p>
          <w:p w14:paraId="4239F0A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4.已完成 12座村改居公厕建设工作。</w:t>
            </w:r>
          </w:p>
        </w:tc>
      </w:tr>
      <w:tr w14:paraId="62F7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96" w:type="dxa"/>
            <w:vMerge w:val="restart"/>
            <w:vAlign w:val="center"/>
          </w:tcPr>
          <w:p w14:paraId="35F08F22">
            <w:pPr>
              <w:numPr>
                <w:ilvl w:val="0"/>
                <w:numId w:val="1"/>
              </w:numPr>
              <w:spacing w:line="300" w:lineRule="exact"/>
              <w:rPr>
                <w:rFonts w:ascii="仿宋_GB2312" w:hAnsi="黑体" w:eastAsia="仿宋_GB2312" w:cs="仿宋_GB2312"/>
                <w:sz w:val="24"/>
                <w:szCs w:val="24"/>
              </w:rPr>
            </w:pPr>
          </w:p>
        </w:tc>
        <w:tc>
          <w:tcPr>
            <w:tcW w:w="3476" w:type="dxa"/>
            <w:gridSpan w:val="2"/>
            <w:vMerge w:val="restart"/>
            <w:vAlign w:val="center"/>
          </w:tcPr>
          <w:p w14:paraId="102DCA2C">
            <w:pPr>
              <w:spacing w:line="300" w:lineRule="exact"/>
              <w:rPr>
                <w:rFonts w:ascii="仿宋_GB2312" w:hAnsi="宋体" w:eastAsia="仿宋_GB2312"/>
                <w:b/>
                <w:sz w:val="24"/>
                <w:szCs w:val="24"/>
              </w:rPr>
            </w:pPr>
            <w:r>
              <w:rPr>
                <w:rFonts w:hint="eastAsia" w:ascii="仿宋_GB2312" w:hAnsi="宋体" w:eastAsia="仿宋_GB2312" w:cs="Times New Roman"/>
                <w:sz w:val="24"/>
                <w:szCs w:val="24"/>
              </w:rPr>
              <w:t>完善城市快速路网、步行和自行车等系统建设，打通断头路、瓶颈路。</w:t>
            </w:r>
            <w:r>
              <w:rPr>
                <w:rFonts w:hint="eastAsia" w:ascii="仿宋_GB2312" w:hAnsi="宋体" w:eastAsia="仿宋_GB2312"/>
                <w:b/>
                <w:sz w:val="24"/>
                <w:szCs w:val="24"/>
              </w:rPr>
              <w:t>（牵头单位：区住房城乡建设局）</w:t>
            </w:r>
          </w:p>
        </w:tc>
        <w:tc>
          <w:tcPr>
            <w:tcW w:w="1134" w:type="dxa"/>
            <w:vMerge w:val="restart"/>
            <w:vAlign w:val="center"/>
          </w:tcPr>
          <w:p w14:paraId="23FB0515">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Align w:val="center"/>
          </w:tcPr>
          <w:p w14:paraId="6DBFD667">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区住房城乡建设局</w:t>
            </w:r>
          </w:p>
          <w:p w14:paraId="6DD3C2CB">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区建管中心</w:t>
            </w:r>
          </w:p>
        </w:tc>
        <w:tc>
          <w:tcPr>
            <w:tcW w:w="7200" w:type="dxa"/>
            <w:vAlign w:val="center"/>
          </w:tcPr>
          <w:p w14:paraId="7AB5FC0D">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04156E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慢行系统建设已纳入各道路工程项目中同步建设或改造，各项目正按照计划推进，现正开展东华路、胜利路、城心轴线、迎宾路（胜利北路-建设路）工程的相关建设内容；已完成步行道2公里，面积约10800平方米。</w:t>
            </w:r>
          </w:p>
        </w:tc>
      </w:tr>
      <w:tr w14:paraId="76F9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96" w:type="dxa"/>
            <w:vMerge w:val="continue"/>
            <w:vAlign w:val="center"/>
          </w:tcPr>
          <w:p w14:paraId="710E061C">
            <w:pPr>
              <w:numPr>
                <w:ilvl w:val="0"/>
                <w:numId w:val="1"/>
              </w:numPr>
              <w:spacing w:line="300" w:lineRule="exact"/>
              <w:rPr>
                <w:rFonts w:ascii="仿宋_GB2312" w:hAnsi="黑体" w:eastAsia="仿宋_GB2312" w:cs="仿宋_GB2312"/>
                <w:sz w:val="24"/>
                <w:szCs w:val="24"/>
              </w:rPr>
            </w:pPr>
          </w:p>
        </w:tc>
        <w:tc>
          <w:tcPr>
            <w:tcW w:w="3476" w:type="dxa"/>
            <w:gridSpan w:val="2"/>
            <w:vMerge w:val="continue"/>
            <w:vAlign w:val="center"/>
          </w:tcPr>
          <w:p w14:paraId="00BB5B01">
            <w:pPr>
              <w:spacing w:line="300" w:lineRule="exact"/>
              <w:rPr>
                <w:rFonts w:ascii="仿宋_GB2312" w:hAnsi="宋体" w:eastAsia="仿宋_GB2312" w:cs="Times New Roman"/>
                <w:sz w:val="24"/>
                <w:szCs w:val="24"/>
              </w:rPr>
            </w:pPr>
          </w:p>
        </w:tc>
        <w:tc>
          <w:tcPr>
            <w:tcW w:w="1134" w:type="dxa"/>
            <w:vMerge w:val="continue"/>
            <w:vAlign w:val="center"/>
          </w:tcPr>
          <w:p w14:paraId="2EA3BC3A">
            <w:pPr>
              <w:spacing w:line="300" w:lineRule="exact"/>
              <w:jc w:val="center"/>
              <w:rPr>
                <w:rFonts w:ascii="仿宋_GB2312" w:hAnsi="宋体" w:eastAsia="仿宋_GB2312" w:cs="Times New Roman"/>
                <w:sz w:val="24"/>
                <w:szCs w:val="24"/>
              </w:rPr>
            </w:pPr>
          </w:p>
        </w:tc>
        <w:tc>
          <w:tcPr>
            <w:tcW w:w="3119" w:type="dxa"/>
            <w:vAlign w:val="center"/>
          </w:tcPr>
          <w:p w14:paraId="7D4B2371">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区建管中心</w:t>
            </w:r>
          </w:p>
        </w:tc>
        <w:tc>
          <w:tcPr>
            <w:tcW w:w="7200" w:type="dxa"/>
            <w:vAlign w:val="center"/>
          </w:tcPr>
          <w:p w14:paraId="552D8659">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DEE1E6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已完成方案设计，正办理规划报批。</w:t>
            </w:r>
          </w:p>
        </w:tc>
      </w:tr>
      <w:tr w14:paraId="0010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496" w:type="dxa"/>
            <w:vAlign w:val="center"/>
          </w:tcPr>
          <w:p w14:paraId="02D44D38">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77191547">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市区新增机动车公共停车泊位2500个。</w:t>
            </w:r>
            <w:r>
              <w:rPr>
                <w:rFonts w:hint="eastAsia" w:ascii="仿宋_GB2312" w:hAnsi="宋体" w:eastAsia="仿宋_GB2312"/>
                <w:b/>
                <w:sz w:val="24"/>
                <w:szCs w:val="24"/>
              </w:rPr>
              <w:t>（牵头单位：区城市管理和综合执法局）</w:t>
            </w:r>
          </w:p>
        </w:tc>
        <w:tc>
          <w:tcPr>
            <w:tcW w:w="1134" w:type="dxa"/>
            <w:vAlign w:val="center"/>
          </w:tcPr>
          <w:p w14:paraId="0A2BEF61">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关志钒</w:t>
            </w:r>
          </w:p>
        </w:tc>
        <w:tc>
          <w:tcPr>
            <w:tcW w:w="3119" w:type="dxa"/>
            <w:vAlign w:val="center"/>
          </w:tcPr>
          <w:p w14:paraId="522AC75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区城市管理和综合执法局</w:t>
            </w:r>
          </w:p>
          <w:p w14:paraId="3478ACE3">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环市街</w:t>
            </w:r>
          </w:p>
          <w:p w14:paraId="0D4F229C">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潮连街</w:t>
            </w:r>
          </w:p>
          <w:p w14:paraId="78B728A9">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白沙街</w:t>
            </w:r>
          </w:p>
        </w:tc>
        <w:tc>
          <w:tcPr>
            <w:tcW w:w="7200" w:type="dxa"/>
            <w:vAlign w:val="center"/>
          </w:tcPr>
          <w:p w14:paraId="20FDED37">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EE8FCB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目前已完成200个停车位建设。</w:t>
            </w:r>
          </w:p>
        </w:tc>
      </w:tr>
      <w:tr w14:paraId="2558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496" w:type="dxa"/>
            <w:vAlign w:val="center"/>
          </w:tcPr>
          <w:p w14:paraId="23B54C87">
            <w:pPr>
              <w:numPr>
                <w:ilvl w:val="0"/>
                <w:numId w:val="1"/>
              </w:numPr>
              <w:spacing w:line="300" w:lineRule="exact"/>
              <w:rPr>
                <w:rFonts w:ascii="仿宋_GB2312" w:hAnsi="黑体" w:eastAsia="仿宋_GB2312" w:cs="仿宋_GB2312"/>
                <w:sz w:val="24"/>
                <w:szCs w:val="24"/>
              </w:rPr>
            </w:pPr>
          </w:p>
        </w:tc>
        <w:tc>
          <w:tcPr>
            <w:tcW w:w="1270" w:type="dxa"/>
            <w:vAlign w:val="center"/>
          </w:tcPr>
          <w:p w14:paraId="783D397D">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加快三个片区的建设。</w:t>
            </w:r>
          </w:p>
        </w:tc>
        <w:tc>
          <w:tcPr>
            <w:tcW w:w="2206" w:type="dxa"/>
            <w:vAlign w:val="center"/>
          </w:tcPr>
          <w:p w14:paraId="15D1608A">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（1）蓬江城市中央活动区。</w:t>
            </w:r>
            <w:r>
              <w:rPr>
                <w:rFonts w:hint="eastAsia" w:ascii="仿宋_GB2312" w:hAnsi="宋体" w:eastAsia="仿宋_GB2312"/>
                <w:b/>
                <w:sz w:val="24"/>
                <w:szCs w:val="24"/>
              </w:rPr>
              <w:t>（牵头单位：区住房城乡建设局）</w:t>
            </w:r>
          </w:p>
        </w:tc>
        <w:tc>
          <w:tcPr>
            <w:tcW w:w="1134" w:type="dxa"/>
            <w:vAlign w:val="center"/>
          </w:tcPr>
          <w:p w14:paraId="4FD1BA08">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Align w:val="center"/>
          </w:tcPr>
          <w:p w14:paraId="7C10751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区住房城乡建设局</w:t>
            </w:r>
          </w:p>
          <w:p w14:paraId="782FB1D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区城市管理和综合执法局</w:t>
            </w:r>
          </w:p>
          <w:p w14:paraId="6782B5BA">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区建管中心</w:t>
            </w:r>
          </w:p>
          <w:p w14:paraId="4BB15A99">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环市街</w:t>
            </w:r>
          </w:p>
        </w:tc>
        <w:tc>
          <w:tcPr>
            <w:tcW w:w="7200" w:type="dxa"/>
            <w:vAlign w:val="center"/>
          </w:tcPr>
          <w:p w14:paraId="46A8EC65">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C133DD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1.院士路、迎宾大道的道路亮化提升项目已完成前期筹备工作；已于春节前投入390万元完成万达广场前花卉绿化景观项目。</w:t>
            </w:r>
          </w:p>
          <w:p w14:paraId="26B1BAB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2.区城心轴线道路品质提升工程已完成施工图，正按计划施工；已完成发展大道北侧、华侨广场、广场环路（内环）人行道、非机动车道及绿化改造。正在进行广场环路（外环）人行道、非机动车道及绿化改造。</w:t>
            </w:r>
          </w:p>
          <w:p w14:paraId="5189247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3.院士路萃锦园花圃改造项目已立项，目前在环市街财政审核预算阶段。</w:t>
            </w:r>
          </w:p>
        </w:tc>
      </w:tr>
      <w:tr w14:paraId="649C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496" w:type="dxa"/>
            <w:vAlign w:val="center"/>
          </w:tcPr>
          <w:p w14:paraId="1C2B6400">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680BF5A7">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推进市区环卫作业一体化。</w:t>
            </w:r>
            <w:r>
              <w:rPr>
                <w:rFonts w:hint="eastAsia" w:ascii="仿宋_GB2312" w:hAnsi="宋体" w:eastAsia="仿宋_GB2312"/>
                <w:b/>
                <w:sz w:val="24"/>
                <w:szCs w:val="24"/>
              </w:rPr>
              <w:t>（牵头单位：区环卫局）</w:t>
            </w:r>
          </w:p>
        </w:tc>
        <w:tc>
          <w:tcPr>
            <w:tcW w:w="1134" w:type="dxa"/>
            <w:vAlign w:val="center"/>
          </w:tcPr>
          <w:p w14:paraId="529C54BC">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关志钒</w:t>
            </w:r>
          </w:p>
        </w:tc>
        <w:tc>
          <w:tcPr>
            <w:tcW w:w="3119" w:type="dxa"/>
            <w:vAlign w:val="center"/>
          </w:tcPr>
          <w:p w14:paraId="64E2CDA9">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区环卫局</w:t>
            </w:r>
          </w:p>
          <w:p w14:paraId="6FC5793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区委组织部</w:t>
            </w:r>
          </w:p>
          <w:p w14:paraId="403D083A">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区发展和改革局</w:t>
            </w:r>
          </w:p>
          <w:p w14:paraId="2BF6F72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区财政局</w:t>
            </w:r>
          </w:p>
          <w:p w14:paraId="70AABFC7">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区人力资源社会保障局</w:t>
            </w:r>
          </w:p>
          <w:p w14:paraId="0C51F7A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区农业农村和水利局</w:t>
            </w:r>
          </w:p>
          <w:p w14:paraId="09639DB1">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区城市管理和综合执法局</w:t>
            </w:r>
          </w:p>
          <w:p w14:paraId="70D56B53">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环市街</w:t>
            </w:r>
          </w:p>
          <w:p w14:paraId="5017E266">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白沙街</w:t>
            </w:r>
          </w:p>
        </w:tc>
        <w:tc>
          <w:tcPr>
            <w:tcW w:w="7200" w:type="dxa"/>
            <w:vAlign w:val="center"/>
          </w:tcPr>
          <w:p w14:paraId="524A59EE">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7E9F23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《关于启动蓬江区环卫一体化和市场化工作的请示》已通过区书记会审议。已启动资产评估工作，正在编制项目实施方案、可行性研究报告以及造价清单。</w:t>
            </w:r>
          </w:p>
        </w:tc>
      </w:tr>
      <w:tr w14:paraId="0968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496" w:type="dxa"/>
            <w:vAlign w:val="center"/>
          </w:tcPr>
          <w:p w14:paraId="4F2DC443">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7C38204F">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市区现有的6条黑臭水体全面消除黑臭现象，新发现的黑臭水体全面进入整治阶段。</w:t>
            </w:r>
            <w:r>
              <w:rPr>
                <w:rFonts w:hint="eastAsia" w:ascii="仿宋_GB2312" w:hAnsi="宋体" w:eastAsia="仿宋_GB2312"/>
                <w:b/>
                <w:sz w:val="24"/>
                <w:szCs w:val="24"/>
              </w:rPr>
              <w:t>（牵头单位：区农业农村和水利局）</w:t>
            </w:r>
          </w:p>
        </w:tc>
        <w:tc>
          <w:tcPr>
            <w:tcW w:w="1134" w:type="dxa"/>
            <w:vAlign w:val="center"/>
          </w:tcPr>
          <w:p w14:paraId="1478A72C">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7B3D313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区农业农村和水利局</w:t>
            </w:r>
          </w:p>
          <w:p w14:paraId="40260E89">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区城市管理和综合执法局</w:t>
            </w:r>
          </w:p>
          <w:p w14:paraId="6BE3A33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区自然资源局</w:t>
            </w:r>
          </w:p>
          <w:p w14:paraId="2D8ED406">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区发展和改革局</w:t>
            </w:r>
          </w:p>
          <w:p w14:paraId="25AEDF0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区财政局</w:t>
            </w:r>
          </w:p>
          <w:p w14:paraId="7DC4732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区住房城乡建设局</w:t>
            </w:r>
          </w:p>
          <w:p w14:paraId="5D72DBD6">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200" w:type="dxa"/>
            <w:vAlign w:val="center"/>
          </w:tcPr>
          <w:p w14:paraId="1418AE7D">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0A435A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1.按市的统一要求开展天沙河、杜阮河两条黑臭水体“1+4”工作方案进行修改完善。</w:t>
            </w:r>
          </w:p>
          <w:p w14:paraId="50106DB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2.已完成两条黑臭水体“6个一”制度建设。</w:t>
            </w:r>
          </w:p>
          <w:p w14:paraId="2729D2A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3.已制定河长制（湖长制）七项工作制度。</w:t>
            </w:r>
          </w:p>
          <w:p w14:paraId="041BEC9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4.已建立河道常态化保洁工作制度，清理河道漂浮物87吨。</w:t>
            </w:r>
          </w:p>
          <w:p w14:paraId="4C69435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5.已建立“第三方”河道巡查整改机制，累计巡查次数305次。</w:t>
            </w:r>
          </w:p>
          <w:p w14:paraId="4F50469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6.推行全流域河道水质监测，建立每月排名通报制度。</w:t>
            </w:r>
          </w:p>
        </w:tc>
      </w:tr>
      <w:tr w14:paraId="6971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96" w:type="dxa"/>
            <w:vMerge w:val="restart"/>
            <w:vAlign w:val="center"/>
          </w:tcPr>
          <w:p w14:paraId="0159E926">
            <w:pPr>
              <w:numPr>
                <w:ilvl w:val="0"/>
                <w:numId w:val="1"/>
              </w:numPr>
              <w:spacing w:line="300" w:lineRule="exact"/>
              <w:rPr>
                <w:rFonts w:ascii="仿宋_GB2312" w:hAnsi="黑体" w:eastAsia="仿宋_GB2312" w:cs="仿宋_GB2312"/>
                <w:sz w:val="24"/>
                <w:szCs w:val="24"/>
              </w:rPr>
            </w:pPr>
          </w:p>
        </w:tc>
        <w:tc>
          <w:tcPr>
            <w:tcW w:w="3476" w:type="dxa"/>
            <w:gridSpan w:val="2"/>
            <w:vMerge w:val="restart"/>
            <w:vAlign w:val="center"/>
          </w:tcPr>
          <w:p w14:paraId="75E8275B">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加快城镇污水处理厂和配套管网建设。</w:t>
            </w:r>
            <w:r>
              <w:rPr>
                <w:rFonts w:hint="eastAsia" w:ascii="仿宋_GB2312" w:hAnsi="宋体" w:eastAsia="仿宋_GB2312"/>
                <w:b/>
                <w:sz w:val="24"/>
                <w:szCs w:val="24"/>
              </w:rPr>
              <w:t>（牵头单位：区城市管理和综合执法局）</w:t>
            </w:r>
          </w:p>
        </w:tc>
        <w:tc>
          <w:tcPr>
            <w:tcW w:w="1134" w:type="dxa"/>
            <w:vMerge w:val="restart"/>
            <w:vAlign w:val="center"/>
          </w:tcPr>
          <w:p w14:paraId="6007AEC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关志钒</w:t>
            </w:r>
          </w:p>
        </w:tc>
        <w:tc>
          <w:tcPr>
            <w:tcW w:w="3119" w:type="dxa"/>
            <w:vMerge w:val="restart"/>
            <w:vAlign w:val="center"/>
          </w:tcPr>
          <w:p w14:paraId="13F4150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区城市管理和综合执法局</w:t>
            </w:r>
          </w:p>
          <w:p w14:paraId="54FCD26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区发展和改革局</w:t>
            </w:r>
          </w:p>
          <w:p w14:paraId="2206A63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区自然资源局</w:t>
            </w:r>
          </w:p>
          <w:p w14:paraId="366A4793">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区农业农村和水利局</w:t>
            </w:r>
          </w:p>
          <w:p w14:paraId="491A7B0B">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200" w:type="dxa"/>
            <w:vMerge w:val="restart"/>
            <w:vAlign w:val="center"/>
          </w:tcPr>
          <w:p w14:paraId="1FE151BA">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C9E130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已完成管网摸底排查工作，部分管网工程正在进行前期准备工作。</w:t>
            </w:r>
          </w:p>
        </w:tc>
      </w:tr>
      <w:tr w14:paraId="17F1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96" w:type="dxa"/>
            <w:vMerge w:val="continue"/>
            <w:vAlign w:val="center"/>
          </w:tcPr>
          <w:p w14:paraId="5E18EA80">
            <w:pPr>
              <w:numPr>
                <w:ilvl w:val="0"/>
                <w:numId w:val="1"/>
              </w:numPr>
              <w:spacing w:line="300" w:lineRule="exact"/>
              <w:rPr>
                <w:rFonts w:ascii="仿宋_GB2312" w:hAnsi="黑体" w:eastAsia="仿宋_GB2312" w:cs="仿宋_GB2312"/>
                <w:sz w:val="24"/>
                <w:szCs w:val="24"/>
              </w:rPr>
            </w:pPr>
          </w:p>
        </w:tc>
        <w:tc>
          <w:tcPr>
            <w:tcW w:w="3476" w:type="dxa"/>
            <w:gridSpan w:val="2"/>
            <w:vMerge w:val="continue"/>
            <w:vAlign w:val="center"/>
          </w:tcPr>
          <w:p w14:paraId="4D127941">
            <w:pPr>
              <w:spacing w:line="300" w:lineRule="exact"/>
              <w:rPr>
                <w:rFonts w:ascii="仿宋_GB2312" w:hAnsi="宋体" w:eastAsia="仿宋_GB2312" w:cs="Times New Roman"/>
                <w:sz w:val="24"/>
                <w:szCs w:val="24"/>
              </w:rPr>
            </w:pPr>
          </w:p>
        </w:tc>
        <w:tc>
          <w:tcPr>
            <w:tcW w:w="1134" w:type="dxa"/>
            <w:vMerge w:val="continue"/>
            <w:vAlign w:val="center"/>
          </w:tcPr>
          <w:p w14:paraId="18FC6272">
            <w:pPr>
              <w:spacing w:line="300" w:lineRule="exact"/>
              <w:jc w:val="center"/>
              <w:rPr>
                <w:rFonts w:ascii="仿宋_GB2312" w:hAnsi="宋体" w:eastAsia="仿宋_GB2312" w:cs="Times New Roman"/>
                <w:sz w:val="24"/>
                <w:szCs w:val="24"/>
              </w:rPr>
            </w:pPr>
          </w:p>
        </w:tc>
        <w:tc>
          <w:tcPr>
            <w:tcW w:w="3119" w:type="dxa"/>
            <w:vMerge w:val="continue"/>
            <w:vAlign w:val="center"/>
          </w:tcPr>
          <w:p w14:paraId="7314BBBE">
            <w:pPr>
              <w:spacing w:line="300" w:lineRule="exact"/>
              <w:ind w:left="-107" w:leftChars="-51" w:right="-82" w:rightChars="-39"/>
              <w:jc w:val="center"/>
              <w:rPr>
                <w:rFonts w:ascii="仿宋_GB2312" w:hAnsi="黑体" w:eastAsia="仿宋_GB2312" w:cs="Times New Roman"/>
                <w:sz w:val="24"/>
                <w:szCs w:val="24"/>
              </w:rPr>
            </w:pPr>
          </w:p>
        </w:tc>
        <w:tc>
          <w:tcPr>
            <w:tcW w:w="7200" w:type="dxa"/>
            <w:vMerge w:val="continue"/>
            <w:vAlign w:val="center"/>
          </w:tcPr>
          <w:p w14:paraId="566E7543">
            <w:pPr>
              <w:spacing w:line="300" w:lineRule="exact"/>
              <w:ind w:firstLine="480" w:firstLineChars="200"/>
              <w:rPr>
                <w:rFonts w:ascii="仿宋_GB2312" w:hAnsi="黑体" w:eastAsia="仿宋_GB2312" w:cs="Times New Roman"/>
                <w:sz w:val="24"/>
                <w:szCs w:val="24"/>
              </w:rPr>
            </w:pPr>
          </w:p>
        </w:tc>
      </w:tr>
      <w:tr w14:paraId="55C2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96" w:type="dxa"/>
            <w:vMerge w:val="continue"/>
            <w:vAlign w:val="center"/>
          </w:tcPr>
          <w:p w14:paraId="300F0F35">
            <w:pPr>
              <w:numPr>
                <w:ilvl w:val="0"/>
                <w:numId w:val="1"/>
              </w:numPr>
              <w:spacing w:line="300" w:lineRule="exact"/>
              <w:rPr>
                <w:rFonts w:ascii="仿宋_GB2312" w:hAnsi="黑体" w:eastAsia="仿宋_GB2312" w:cs="仿宋_GB2312"/>
                <w:sz w:val="24"/>
                <w:szCs w:val="24"/>
              </w:rPr>
            </w:pPr>
          </w:p>
        </w:tc>
        <w:tc>
          <w:tcPr>
            <w:tcW w:w="3476" w:type="dxa"/>
            <w:gridSpan w:val="2"/>
            <w:vMerge w:val="continue"/>
            <w:vAlign w:val="center"/>
          </w:tcPr>
          <w:p w14:paraId="513B8D21">
            <w:pPr>
              <w:spacing w:line="300" w:lineRule="exact"/>
              <w:rPr>
                <w:rFonts w:ascii="仿宋_GB2312" w:hAnsi="宋体" w:eastAsia="仿宋_GB2312" w:cs="Times New Roman"/>
                <w:sz w:val="24"/>
                <w:szCs w:val="24"/>
              </w:rPr>
            </w:pPr>
          </w:p>
        </w:tc>
        <w:tc>
          <w:tcPr>
            <w:tcW w:w="1134" w:type="dxa"/>
            <w:vMerge w:val="continue"/>
            <w:vAlign w:val="center"/>
          </w:tcPr>
          <w:p w14:paraId="3F895254">
            <w:pPr>
              <w:spacing w:line="300" w:lineRule="exact"/>
              <w:jc w:val="center"/>
              <w:rPr>
                <w:rFonts w:ascii="仿宋_GB2312" w:hAnsi="宋体" w:eastAsia="仿宋_GB2312" w:cs="Times New Roman"/>
                <w:sz w:val="24"/>
                <w:szCs w:val="24"/>
              </w:rPr>
            </w:pPr>
          </w:p>
        </w:tc>
        <w:tc>
          <w:tcPr>
            <w:tcW w:w="3119" w:type="dxa"/>
            <w:vMerge w:val="continue"/>
            <w:vAlign w:val="center"/>
          </w:tcPr>
          <w:p w14:paraId="7164AD45">
            <w:pPr>
              <w:spacing w:line="300" w:lineRule="exact"/>
              <w:ind w:left="-107" w:leftChars="-51" w:right="-82" w:rightChars="-39"/>
              <w:jc w:val="center"/>
              <w:rPr>
                <w:rFonts w:ascii="仿宋_GB2312" w:hAnsi="黑体" w:eastAsia="仿宋_GB2312" w:cs="Times New Roman"/>
                <w:sz w:val="24"/>
                <w:szCs w:val="24"/>
              </w:rPr>
            </w:pPr>
          </w:p>
        </w:tc>
        <w:tc>
          <w:tcPr>
            <w:tcW w:w="7200" w:type="dxa"/>
            <w:vMerge w:val="continue"/>
            <w:vAlign w:val="center"/>
          </w:tcPr>
          <w:p w14:paraId="3A0E9CFA">
            <w:pPr>
              <w:spacing w:line="300" w:lineRule="exact"/>
              <w:ind w:firstLine="480" w:firstLineChars="200"/>
              <w:rPr>
                <w:rFonts w:ascii="仿宋_GB2312" w:hAnsi="黑体" w:eastAsia="仿宋_GB2312" w:cs="Times New Roman"/>
                <w:sz w:val="24"/>
                <w:szCs w:val="24"/>
              </w:rPr>
            </w:pPr>
          </w:p>
        </w:tc>
      </w:tr>
      <w:tr w14:paraId="3648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96" w:type="dxa"/>
            <w:vAlign w:val="center"/>
          </w:tcPr>
          <w:p w14:paraId="26F8DF42">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35286319">
            <w:pPr>
              <w:spacing w:line="300" w:lineRule="exact"/>
              <w:ind w:left="-107" w:leftChars="-51" w:right="-82" w:rightChars="-39"/>
              <w:jc w:val="left"/>
              <w:rPr>
                <w:rFonts w:ascii="仿宋_GB2312" w:hAnsi="黑体" w:eastAsia="仿宋_GB2312" w:cs="Times New Roman"/>
                <w:sz w:val="24"/>
                <w:szCs w:val="24"/>
              </w:rPr>
            </w:pPr>
            <w:r>
              <w:rPr>
                <w:rFonts w:hint="eastAsia" w:ascii="仿宋_GB2312" w:hAnsi="宋体" w:eastAsia="仿宋_GB2312" w:cs="Times New Roman"/>
                <w:sz w:val="24"/>
                <w:szCs w:val="24"/>
              </w:rPr>
              <w:t>扩大农村污水处理设施覆盖面，启动潭江重点支流沿线重点村庄生活污水整治。</w:t>
            </w:r>
            <w:r>
              <w:rPr>
                <w:rFonts w:hint="eastAsia" w:ascii="仿宋_GB2312" w:hAnsi="宋体" w:eastAsia="仿宋_GB2312"/>
                <w:b/>
                <w:sz w:val="24"/>
                <w:szCs w:val="24"/>
              </w:rPr>
              <w:t>（牵头单位：</w:t>
            </w:r>
            <w:r>
              <w:rPr>
                <w:rFonts w:hint="eastAsia" w:ascii="仿宋_GB2312" w:hAnsi="黑体" w:eastAsia="仿宋_GB2312" w:cs="Times New Roman"/>
                <w:b/>
                <w:sz w:val="24"/>
                <w:szCs w:val="24"/>
              </w:rPr>
              <w:t>区城市管理和综合执法局</w:t>
            </w:r>
            <w:r>
              <w:rPr>
                <w:rFonts w:hint="eastAsia" w:ascii="仿宋_GB2312" w:hAnsi="宋体" w:eastAsia="仿宋_GB2312"/>
                <w:b/>
                <w:sz w:val="24"/>
                <w:szCs w:val="24"/>
              </w:rPr>
              <w:t>）</w:t>
            </w:r>
          </w:p>
        </w:tc>
        <w:tc>
          <w:tcPr>
            <w:tcW w:w="1134" w:type="dxa"/>
            <w:vAlign w:val="center"/>
          </w:tcPr>
          <w:p w14:paraId="24265E10">
            <w:pPr>
              <w:spacing w:line="300" w:lineRule="exact"/>
              <w:jc w:val="center"/>
              <w:rPr>
                <w:rFonts w:ascii="仿宋_GB2312" w:hAnsi="宋体" w:eastAsia="仿宋_GB2312" w:cs="Times New Roman"/>
                <w:sz w:val="24"/>
                <w:szCs w:val="24"/>
              </w:rPr>
            </w:pPr>
            <w:r>
              <w:rPr>
                <w:rFonts w:hint="eastAsia" w:ascii="仿宋_GB2312" w:hAnsi="黑体" w:eastAsia="仿宋_GB2312" w:cs="Times New Roman"/>
                <w:sz w:val="24"/>
                <w:szCs w:val="24"/>
              </w:rPr>
              <w:t>关志钒</w:t>
            </w:r>
          </w:p>
        </w:tc>
        <w:tc>
          <w:tcPr>
            <w:tcW w:w="3119" w:type="dxa"/>
            <w:vAlign w:val="center"/>
          </w:tcPr>
          <w:p w14:paraId="0A26616E">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区城市管理和综合执法局</w:t>
            </w:r>
          </w:p>
          <w:p w14:paraId="7FE01F6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区农业林业和水利局</w:t>
            </w:r>
          </w:p>
          <w:p w14:paraId="7521308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区住房城乡建设局</w:t>
            </w:r>
          </w:p>
          <w:p w14:paraId="4252F1F5">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区自然资源局</w:t>
            </w:r>
          </w:p>
          <w:p w14:paraId="743D993A">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200" w:type="dxa"/>
            <w:vAlign w:val="center"/>
          </w:tcPr>
          <w:p w14:paraId="5DE400E9">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B2C2C8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农村分散式污水处理设施建设已纳入了蓬江区南、北片区黑臭水体及水利工程项目，根据2019年蓬江区城市品质提升计划，该项目将于6月开工。</w:t>
            </w:r>
          </w:p>
        </w:tc>
      </w:tr>
      <w:tr w14:paraId="6908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96" w:type="dxa"/>
            <w:vMerge w:val="restart"/>
            <w:vAlign w:val="center"/>
          </w:tcPr>
          <w:p w14:paraId="00125489">
            <w:pPr>
              <w:numPr>
                <w:ilvl w:val="0"/>
                <w:numId w:val="1"/>
              </w:numPr>
              <w:spacing w:line="300" w:lineRule="exact"/>
              <w:rPr>
                <w:rFonts w:ascii="仿宋_GB2312" w:hAnsi="黑体" w:eastAsia="仿宋_GB2312" w:cs="仿宋_GB2312"/>
                <w:sz w:val="24"/>
                <w:szCs w:val="24"/>
              </w:rPr>
            </w:pPr>
          </w:p>
        </w:tc>
        <w:tc>
          <w:tcPr>
            <w:tcW w:w="3476" w:type="dxa"/>
            <w:gridSpan w:val="2"/>
            <w:vMerge w:val="restart"/>
            <w:vAlign w:val="center"/>
          </w:tcPr>
          <w:p w14:paraId="6390FF93">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蓬江区争创（“四好农村路”）省级示范县。</w:t>
            </w:r>
            <w:r>
              <w:rPr>
                <w:rFonts w:hint="eastAsia" w:ascii="仿宋_GB2312" w:hAnsi="宋体" w:eastAsia="仿宋_GB2312"/>
                <w:b/>
                <w:sz w:val="24"/>
                <w:szCs w:val="24"/>
              </w:rPr>
              <w:t>（牵头单位：区住房城乡建设局）</w:t>
            </w:r>
          </w:p>
        </w:tc>
        <w:tc>
          <w:tcPr>
            <w:tcW w:w="1134" w:type="dxa"/>
            <w:vMerge w:val="restart"/>
            <w:vAlign w:val="center"/>
          </w:tcPr>
          <w:p w14:paraId="38830FB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Merge w:val="restart"/>
            <w:vAlign w:val="center"/>
          </w:tcPr>
          <w:p w14:paraId="7F4C817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区住房城乡建设局</w:t>
            </w:r>
          </w:p>
          <w:p w14:paraId="02C1C551">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区自然资源局</w:t>
            </w:r>
          </w:p>
          <w:p w14:paraId="5721BD15">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区科工商务局</w:t>
            </w:r>
          </w:p>
          <w:p w14:paraId="1D0662C6">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区财政局</w:t>
            </w:r>
          </w:p>
          <w:p w14:paraId="6ECCDA69">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区农业农村和水利局</w:t>
            </w:r>
          </w:p>
          <w:p w14:paraId="0373D966">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区城市管理和综合执法局</w:t>
            </w:r>
          </w:p>
          <w:p w14:paraId="3D4F6743">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区司法局</w:t>
            </w:r>
          </w:p>
          <w:p w14:paraId="1CF71B0B">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棠下镇</w:t>
            </w:r>
          </w:p>
          <w:p w14:paraId="03E36BCC">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荷塘镇</w:t>
            </w:r>
          </w:p>
          <w:p w14:paraId="42AD5B1E">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杜阮镇</w:t>
            </w:r>
          </w:p>
          <w:p w14:paraId="58C7C70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潮连街</w:t>
            </w:r>
          </w:p>
        </w:tc>
        <w:tc>
          <w:tcPr>
            <w:tcW w:w="7200" w:type="dxa"/>
            <w:vMerge w:val="restart"/>
            <w:vAlign w:val="center"/>
          </w:tcPr>
          <w:p w14:paraId="079621A7">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1FA3F1E">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1.示范路乐公线、棠良线、杜叱线已建成，成为当地一道美丽的风景线。</w:t>
            </w:r>
          </w:p>
          <w:p w14:paraId="49F0BECD">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2.各镇、街的道路绿化项目及村道道路维修项目已完工。</w:t>
            </w:r>
          </w:p>
          <w:p w14:paraId="094DCC57">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3.辖区内所有自然村均已通达公路。</w:t>
            </w:r>
          </w:p>
          <w:p w14:paraId="6FA6C600">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4.东堤路正在进行水泥主线混凝土路面板860米半幅施工，旧路修补1200平方米，绿化工程及交通安全设施施工工作。</w:t>
            </w:r>
          </w:p>
          <w:p w14:paraId="321D0D89">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5.棠下镇、杜阮镇的路面硬底化项目及荷塘镇的三坊桥正在大力建设推进中。</w:t>
            </w:r>
          </w:p>
          <w:p w14:paraId="3E117B9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6. 3月底，已向市交通运输局报送了《关于上报蓬江区创建“四好农村路”示范县申报材料的报告》及《广东省创建“四好农村路”示范县申报表》。</w:t>
            </w:r>
          </w:p>
        </w:tc>
      </w:tr>
      <w:tr w14:paraId="162F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496" w:type="dxa"/>
            <w:vMerge w:val="continue"/>
            <w:vAlign w:val="center"/>
          </w:tcPr>
          <w:p w14:paraId="5EDE1CA6">
            <w:pPr>
              <w:numPr>
                <w:ilvl w:val="0"/>
                <w:numId w:val="1"/>
              </w:numPr>
              <w:spacing w:line="300" w:lineRule="exact"/>
              <w:rPr>
                <w:rFonts w:ascii="仿宋_GB2312" w:hAnsi="黑体" w:eastAsia="仿宋_GB2312" w:cs="仿宋_GB2312"/>
                <w:sz w:val="24"/>
                <w:szCs w:val="24"/>
              </w:rPr>
            </w:pPr>
          </w:p>
        </w:tc>
        <w:tc>
          <w:tcPr>
            <w:tcW w:w="3476" w:type="dxa"/>
            <w:gridSpan w:val="2"/>
            <w:vMerge w:val="continue"/>
            <w:vAlign w:val="center"/>
          </w:tcPr>
          <w:p w14:paraId="33DC03D8">
            <w:pPr>
              <w:spacing w:line="300" w:lineRule="exact"/>
              <w:rPr>
                <w:rFonts w:ascii="仿宋_GB2312" w:hAnsi="宋体" w:eastAsia="仿宋_GB2312" w:cs="Times New Roman"/>
                <w:sz w:val="24"/>
                <w:szCs w:val="24"/>
              </w:rPr>
            </w:pPr>
          </w:p>
        </w:tc>
        <w:tc>
          <w:tcPr>
            <w:tcW w:w="1134" w:type="dxa"/>
            <w:vMerge w:val="continue"/>
            <w:vAlign w:val="center"/>
          </w:tcPr>
          <w:p w14:paraId="43AF3168">
            <w:pPr>
              <w:spacing w:line="300" w:lineRule="exact"/>
              <w:jc w:val="center"/>
              <w:rPr>
                <w:rFonts w:ascii="仿宋_GB2312" w:hAnsi="宋体" w:eastAsia="仿宋_GB2312" w:cs="Times New Roman"/>
                <w:sz w:val="24"/>
                <w:szCs w:val="24"/>
              </w:rPr>
            </w:pPr>
          </w:p>
        </w:tc>
        <w:tc>
          <w:tcPr>
            <w:tcW w:w="3119" w:type="dxa"/>
            <w:vMerge w:val="continue"/>
            <w:vAlign w:val="center"/>
          </w:tcPr>
          <w:p w14:paraId="7911F6D8">
            <w:pPr>
              <w:spacing w:line="300" w:lineRule="exact"/>
              <w:ind w:left="-107" w:leftChars="-51" w:right="-82" w:rightChars="-39"/>
              <w:jc w:val="center"/>
              <w:rPr>
                <w:rFonts w:ascii="仿宋_GB2312" w:hAnsi="黑体" w:eastAsia="仿宋_GB2312" w:cs="Times New Roman"/>
                <w:sz w:val="24"/>
                <w:szCs w:val="24"/>
              </w:rPr>
            </w:pPr>
          </w:p>
        </w:tc>
        <w:tc>
          <w:tcPr>
            <w:tcW w:w="7200" w:type="dxa"/>
            <w:vMerge w:val="continue"/>
            <w:vAlign w:val="center"/>
          </w:tcPr>
          <w:p w14:paraId="15CCEA7D">
            <w:pPr>
              <w:spacing w:line="300" w:lineRule="exact"/>
              <w:ind w:firstLine="480" w:firstLineChars="200"/>
              <w:rPr>
                <w:rFonts w:ascii="仿宋_GB2312" w:hAnsi="黑体" w:eastAsia="仿宋_GB2312" w:cs="Times New Roman"/>
                <w:sz w:val="24"/>
                <w:szCs w:val="24"/>
              </w:rPr>
            </w:pPr>
          </w:p>
        </w:tc>
      </w:tr>
      <w:tr w14:paraId="2C4B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3" w:hRule="atLeast"/>
          <w:jc w:val="center"/>
        </w:trPr>
        <w:tc>
          <w:tcPr>
            <w:tcW w:w="496" w:type="dxa"/>
            <w:vAlign w:val="center"/>
          </w:tcPr>
          <w:p w14:paraId="20C92686">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324946CE">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进一步理顺江门产业转移园管理机制，推进蓬江、江海、开平、鹤山、恩平产业园申请扩大区域。</w:t>
            </w:r>
            <w:r>
              <w:rPr>
                <w:rFonts w:hint="eastAsia" w:ascii="仿宋_GB2312" w:hAnsi="宋体" w:eastAsia="仿宋_GB2312"/>
                <w:b/>
                <w:sz w:val="24"/>
                <w:szCs w:val="24"/>
              </w:rPr>
              <w:t>（牵头单位：滨江新区管委会局）</w:t>
            </w:r>
          </w:p>
        </w:tc>
        <w:tc>
          <w:tcPr>
            <w:tcW w:w="1134" w:type="dxa"/>
            <w:vAlign w:val="center"/>
          </w:tcPr>
          <w:p w14:paraId="19212CE1">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刘少龙</w:t>
            </w:r>
          </w:p>
        </w:tc>
        <w:tc>
          <w:tcPr>
            <w:tcW w:w="3119" w:type="dxa"/>
            <w:vAlign w:val="center"/>
          </w:tcPr>
          <w:p w14:paraId="126CFF6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滨江新区管委会</w:t>
            </w:r>
          </w:p>
          <w:p w14:paraId="391E042A">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区科工商务局</w:t>
            </w:r>
          </w:p>
        </w:tc>
        <w:tc>
          <w:tcPr>
            <w:tcW w:w="7200" w:type="dxa"/>
            <w:vAlign w:val="center"/>
          </w:tcPr>
          <w:p w14:paraId="54D49232">
            <w:pPr>
              <w:spacing w:line="300" w:lineRule="exact"/>
              <w:ind w:left="-107" w:leftChars="-51" w:right="-82" w:rightChars="-39" w:firstLine="600" w:firstLineChars="249"/>
              <w:jc w:val="left"/>
              <w:rPr>
                <w:rFonts w:ascii="仿宋_GB2312" w:hAnsi="宋体" w:eastAsia="仿宋_GB2312" w:cs="Times New Roman"/>
                <w:b/>
                <w:sz w:val="24"/>
                <w:szCs w:val="24"/>
              </w:rPr>
            </w:pPr>
            <w:r>
              <w:rPr>
                <w:rFonts w:hint="eastAsia" w:ascii="仿宋_GB2312" w:hAnsi="宋体" w:eastAsia="仿宋_GB2312" w:cs="Times New Roman"/>
                <w:b/>
                <w:sz w:val="24"/>
                <w:szCs w:val="24"/>
              </w:rPr>
              <w:t>按时间进度完成。</w:t>
            </w:r>
          </w:p>
          <w:p w14:paraId="58BF778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拟定江门蓬江产业转移工业园开发建设工作领导小组和江门蓬江产业转移工业园扩园提质增效工作方案，进一步明确园区开发建设职责分工，落实工作责任，保障园区开发建设工作落到实处，加快推进园区扩园提质取得成效。</w:t>
            </w:r>
          </w:p>
          <w:p w14:paraId="3B819FF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2.一季度成功完成蓬江区依托江门蓬江产业转移工业园申请产业集聚地申报工作，将金镜山、骑龙山工业园纳入园区范围纳入园区管理。</w:t>
            </w:r>
          </w:p>
          <w:p w14:paraId="7EA0B6B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启动产业发展规划和国土空间规划编制工作，拟计划向西扩园征地；按计划推进园区金桐八路等基础道路建设和桐乐路等道路升级改造；已启动华盛路西延线和迎宾西路建设筹备工作，加快产城融合建设；积极探索园区建设融资新模式“EPC+O”、城镇化建设等模式；积极开展园区公共配套工程建设；正开展安商暖企，协调促进兰芳园等重点企业项目建设。</w:t>
            </w:r>
          </w:p>
        </w:tc>
      </w:tr>
      <w:tr w14:paraId="2B14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496" w:type="dxa"/>
            <w:vAlign w:val="center"/>
          </w:tcPr>
          <w:p w14:paraId="570A9656">
            <w:pPr>
              <w:numPr>
                <w:ilvl w:val="0"/>
                <w:numId w:val="1"/>
              </w:numPr>
              <w:spacing w:line="300" w:lineRule="exact"/>
              <w:rPr>
                <w:rFonts w:ascii="仿宋_GB2312" w:hAnsi="黑体" w:eastAsia="仿宋_GB2312" w:cs="仿宋_GB2312"/>
                <w:sz w:val="24"/>
                <w:szCs w:val="24"/>
              </w:rPr>
            </w:pPr>
          </w:p>
        </w:tc>
        <w:tc>
          <w:tcPr>
            <w:tcW w:w="3476" w:type="dxa"/>
            <w:gridSpan w:val="2"/>
            <w:vAlign w:val="center"/>
          </w:tcPr>
          <w:p w14:paraId="0C13DCF8">
            <w:pPr>
              <w:spacing w:line="300" w:lineRule="exact"/>
              <w:rPr>
                <w:rFonts w:ascii="仿宋_GB2312" w:hAnsi="宋体" w:eastAsia="仿宋_GB2312" w:cs="Times New Roman"/>
                <w:sz w:val="24"/>
                <w:szCs w:val="24"/>
              </w:rPr>
            </w:pPr>
            <w:r>
              <w:rPr>
                <w:rFonts w:hint="eastAsia" w:ascii="仿宋_GB2312" w:hAnsi="宋体" w:eastAsia="仿宋_GB2312" w:cs="Times New Roman"/>
                <w:sz w:val="24"/>
                <w:szCs w:val="24"/>
              </w:rPr>
              <w:t>深入推进“招商引资突破年”工作，争取各市（区）年内均引进投资额20亿元以上的项目并动工建设，力争引进超50亿元、超百亿元的特大项目。</w:t>
            </w:r>
            <w:r>
              <w:rPr>
                <w:rFonts w:hint="eastAsia" w:ascii="仿宋_GB2312" w:hAnsi="宋体" w:eastAsia="仿宋_GB2312"/>
                <w:b/>
                <w:sz w:val="24"/>
                <w:szCs w:val="24"/>
              </w:rPr>
              <w:t>（牵头单位：区科工商务局）</w:t>
            </w:r>
          </w:p>
        </w:tc>
        <w:tc>
          <w:tcPr>
            <w:tcW w:w="1134" w:type="dxa"/>
            <w:vAlign w:val="center"/>
          </w:tcPr>
          <w:p w14:paraId="6392AC7C">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15875C1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区科工商务局</w:t>
            </w:r>
          </w:p>
          <w:p w14:paraId="3E8752E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区自然资源局</w:t>
            </w:r>
          </w:p>
          <w:p w14:paraId="545583D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区住房城乡建设局</w:t>
            </w:r>
          </w:p>
          <w:p w14:paraId="3ED0955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200" w:type="dxa"/>
            <w:vAlign w:val="center"/>
          </w:tcPr>
          <w:p w14:paraId="00AA9E29">
            <w:pPr>
              <w:spacing w:line="300" w:lineRule="exact"/>
              <w:ind w:left="-107" w:leftChars="-51" w:right="-82" w:rightChars="-39" w:firstLine="600" w:firstLineChars="249"/>
              <w:jc w:val="left"/>
              <w:rPr>
                <w:rFonts w:ascii="仿宋_GB2312" w:hAnsi="宋体" w:eastAsia="仿宋_GB2312" w:cs="Times New Roman"/>
                <w:b/>
                <w:sz w:val="24"/>
                <w:szCs w:val="24"/>
              </w:rPr>
            </w:pPr>
            <w:r>
              <w:rPr>
                <w:rFonts w:hint="eastAsia" w:ascii="仿宋_GB2312" w:hAnsi="宋体" w:eastAsia="仿宋_GB2312" w:cs="Times New Roman"/>
                <w:b/>
                <w:sz w:val="24"/>
                <w:szCs w:val="24"/>
              </w:rPr>
              <w:t>按时间进度完成。</w:t>
            </w:r>
          </w:p>
          <w:p w14:paraId="16745488">
            <w:pPr>
              <w:spacing w:line="300" w:lineRule="exact"/>
              <w:ind w:firstLine="480" w:firstLineChars="200"/>
              <w:rPr>
                <w:rFonts w:ascii="仿宋_GB2312" w:hAnsi="黑体" w:eastAsia="仿宋_GB2312" w:cs="Times New Roman"/>
                <w:sz w:val="24"/>
                <w:szCs w:val="24"/>
              </w:rPr>
            </w:pPr>
            <w:r>
              <w:rPr>
                <w:rFonts w:hint="eastAsia" w:ascii="仿宋_GB2312" w:hAnsi="宋体" w:eastAsia="仿宋_GB2312" w:cs="Times New Roman"/>
                <w:sz w:val="24"/>
                <w:szCs w:val="24"/>
              </w:rPr>
              <w:t>中国· 侨镇项目于2月拍得8</w:t>
            </w:r>
            <w:r>
              <w:rPr>
                <w:rFonts w:ascii="仿宋_GB2312" w:hAnsi="宋体" w:eastAsia="仿宋_GB2312" w:cs="Times New Roman"/>
                <w:sz w:val="24"/>
                <w:szCs w:val="24"/>
              </w:rPr>
              <w:t>0</w:t>
            </w:r>
            <w:r>
              <w:rPr>
                <w:rFonts w:hint="eastAsia" w:ascii="仿宋_GB2312" w:hAnsi="宋体" w:eastAsia="仿宋_GB2312" w:cs="Times New Roman"/>
                <w:sz w:val="24"/>
                <w:szCs w:val="24"/>
              </w:rPr>
              <w:t>亩项目用地，于3月底在江港（澳）大湾区对接会上签订合作框架协议书，拟投资5</w:t>
            </w:r>
            <w:r>
              <w:rPr>
                <w:rFonts w:ascii="仿宋_GB2312" w:hAnsi="宋体" w:eastAsia="仿宋_GB2312" w:cs="Times New Roman"/>
                <w:sz w:val="24"/>
                <w:szCs w:val="24"/>
              </w:rPr>
              <w:t>0</w:t>
            </w:r>
            <w:r>
              <w:rPr>
                <w:rFonts w:hint="eastAsia" w:ascii="仿宋_GB2312" w:hAnsi="宋体" w:eastAsia="仿宋_GB2312" w:cs="Times New Roman"/>
                <w:sz w:val="24"/>
                <w:szCs w:val="24"/>
              </w:rPr>
              <w:t>亿元人民币。</w:t>
            </w:r>
          </w:p>
        </w:tc>
      </w:tr>
    </w:tbl>
    <w:p w14:paraId="22381774">
      <w:pPr>
        <w:spacing w:line="380" w:lineRule="exact"/>
        <w:ind w:left="-325" w:leftChars="-155" w:firstLine="320" w:firstLineChars="100"/>
        <w:outlineLvl w:val="0"/>
        <w:rPr>
          <w:rFonts w:ascii="黑体" w:hAnsi="黑体" w:eastAsia="黑体" w:cs="Times New Roman"/>
          <w:sz w:val="32"/>
          <w:szCs w:val="32"/>
        </w:rPr>
      </w:pPr>
      <w:r>
        <w:rPr>
          <w:rFonts w:hint="eastAsia" w:ascii="黑体" w:hAnsi="黑体" w:eastAsia="黑体" w:cs="黑体"/>
          <w:sz w:val="32"/>
          <w:szCs w:val="32"/>
        </w:rPr>
        <w:t>二、区委、区政府重点工作（共114项）</w:t>
      </w:r>
    </w:p>
    <w:tbl>
      <w:tblPr>
        <w:tblStyle w:val="18"/>
        <w:tblW w:w="15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056"/>
        <w:gridCol w:w="91"/>
        <w:gridCol w:w="2268"/>
        <w:gridCol w:w="1134"/>
        <w:gridCol w:w="3119"/>
        <w:gridCol w:w="7187"/>
      </w:tblGrid>
      <w:tr w14:paraId="3D90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43" w:type="dxa"/>
            <w:vAlign w:val="center"/>
          </w:tcPr>
          <w:p w14:paraId="089C015E">
            <w:pPr>
              <w:spacing w:line="300" w:lineRule="exact"/>
              <w:jc w:val="center"/>
              <w:rPr>
                <w:rFonts w:ascii="黑体" w:hAnsi="黑体" w:eastAsia="黑体" w:cs="Times New Roman"/>
                <w:sz w:val="28"/>
                <w:szCs w:val="28"/>
              </w:rPr>
            </w:pPr>
            <w:r>
              <w:rPr>
                <w:rFonts w:hint="eastAsia" w:ascii="黑体" w:hAnsi="黑体" w:eastAsia="黑体" w:cs="黑体"/>
                <w:sz w:val="28"/>
                <w:szCs w:val="28"/>
              </w:rPr>
              <w:t>序号</w:t>
            </w:r>
          </w:p>
        </w:tc>
        <w:tc>
          <w:tcPr>
            <w:tcW w:w="3415" w:type="dxa"/>
            <w:gridSpan w:val="3"/>
            <w:vAlign w:val="center"/>
          </w:tcPr>
          <w:p w14:paraId="34B5BD2B">
            <w:pPr>
              <w:spacing w:line="300" w:lineRule="exact"/>
              <w:jc w:val="center"/>
              <w:rPr>
                <w:rFonts w:ascii="黑体" w:hAnsi="黑体" w:eastAsia="黑体" w:cs="Times New Roman"/>
                <w:sz w:val="28"/>
                <w:szCs w:val="28"/>
              </w:rPr>
            </w:pPr>
            <w:r>
              <w:rPr>
                <w:rFonts w:hint="eastAsia" w:ascii="黑体" w:hAnsi="黑体" w:eastAsia="黑体" w:cs="黑体"/>
                <w:sz w:val="28"/>
                <w:szCs w:val="28"/>
              </w:rPr>
              <w:t>工作内容</w:t>
            </w:r>
          </w:p>
        </w:tc>
        <w:tc>
          <w:tcPr>
            <w:tcW w:w="1134" w:type="dxa"/>
            <w:vAlign w:val="center"/>
          </w:tcPr>
          <w:p w14:paraId="47ADB497">
            <w:pPr>
              <w:spacing w:line="300" w:lineRule="exact"/>
              <w:jc w:val="center"/>
              <w:rPr>
                <w:rFonts w:ascii="黑体" w:hAnsi="黑体" w:eastAsia="黑体" w:cs="Times New Roman"/>
                <w:sz w:val="28"/>
                <w:szCs w:val="28"/>
              </w:rPr>
            </w:pPr>
            <w:r>
              <w:rPr>
                <w:rFonts w:hint="eastAsia" w:ascii="黑体" w:hAnsi="黑体" w:eastAsia="黑体" w:cs="Times New Roman"/>
                <w:sz w:val="28"/>
                <w:szCs w:val="28"/>
              </w:rPr>
              <w:t>责任</w:t>
            </w:r>
          </w:p>
          <w:p w14:paraId="60FB0164">
            <w:pPr>
              <w:spacing w:line="300" w:lineRule="exact"/>
              <w:jc w:val="center"/>
              <w:rPr>
                <w:rFonts w:ascii="黑体" w:hAnsi="黑体" w:eastAsia="黑体" w:cs="Times New Roman"/>
                <w:sz w:val="28"/>
                <w:szCs w:val="28"/>
              </w:rPr>
            </w:pPr>
            <w:r>
              <w:rPr>
                <w:rFonts w:hint="eastAsia" w:ascii="黑体" w:hAnsi="黑体" w:eastAsia="黑体" w:cs="Times New Roman"/>
                <w:sz w:val="28"/>
                <w:szCs w:val="28"/>
              </w:rPr>
              <w:t>领导</w:t>
            </w:r>
          </w:p>
        </w:tc>
        <w:tc>
          <w:tcPr>
            <w:tcW w:w="3119" w:type="dxa"/>
            <w:vAlign w:val="center"/>
          </w:tcPr>
          <w:p w14:paraId="075B21EE">
            <w:pPr>
              <w:spacing w:line="300" w:lineRule="exact"/>
              <w:jc w:val="center"/>
              <w:rPr>
                <w:rFonts w:ascii="黑体" w:hAnsi="黑体" w:eastAsia="黑体" w:cs="Times New Roman"/>
                <w:sz w:val="28"/>
                <w:szCs w:val="28"/>
              </w:rPr>
            </w:pPr>
            <w:r>
              <w:rPr>
                <w:rFonts w:hint="eastAsia" w:ascii="黑体" w:hAnsi="黑体" w:eastAsia="黑体" w:cs="黑体"/>
                <w:sz w:val="28"/>
                <w:szCs w:val="28"/>
              </w:rPr>
              <w:t>责任单位</w:t>
            </w:r>
          </w:p>
        </w:tc>
        <w:tc>
          <w:tcPr>
            <w:tcW w:w="7187" w:type="dxa"/>
            <w:vAlign w:val="center"/>
          </w:tcPr>
          <w:p w14:paraId="3DE7B287">
            <w:pPr>
              <w:spacing w:line="300" w:lineRule="exact"/>
              <w:ind w:left="-107" w:leftChars="-51" w:right="-82" w:rightChars="-39"/>
              <w:jc w:val="center"/>
              <w:rPr>
                <w:rFonts w:ascii="黑体" w:hAnsi="黑体" w:eastAsia="黑体" w:cs="Times New Roman"/>
                <w:sz w:val="28"/>
                <w:szCs w:val="28"/>
              </w:rPr>
            </w:pPr>
            <w:r>
              <w:rPr>
                <w:rFonts w:hint="eastAsia" w:ascii="黑体" w:hAnsi="黑体" w:eastAsia="黑体" w:cs="黑体"/>
                <w:sz w:val="28"/>
                <w:szCs w:val="28"/>
              </w:rPr>
              <w:t>进展情况</w:t>
            </w:r>
          </w:p>
        </w:tc>
      </w:tr>
      <w:tr w14:paraId="529D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543" w:type="dxa"/>
            <w:vAlign w:val="center"/>
          </w:tcPr>
          <w:p w14:paraId="4A660251">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FF03CBC">
            <w:pPr>
              <w:spacing w:line="300" w:lineRule="exact"/>
              <w:rPr>
                <w:rFonts w:ascii="仿宋_GB2312" w:hAnsi="宋体" w:eastAsia="仿宋_GB2312"/>
                <w:sz w:val="24"/>
                <w:szCs w:val="24"/>
              </w:rPr>
            </w:pPr>
            <w:r>
              <w:rPr>
                <w:rFonts w:hint="eastAsia" w:ascii="仿宋_GB2312" w:hAnsi="宋体" w:eastAsia="仿宋_GB2312"/>
                <w:sz w:val="24"/>
                <w:szCs w:val="24"/>
              </w:rPr>
              <w:t>力争实现工业投资85亿元，力促落地一批、动工一批、投产一批、达产一批工业项目。</w:t>
            </w:r>
            <w:r>
              <w:rPr>
                <w:rFonts w:hint="eastAsia" w:ascii="仿宋_GB2312" w:hAnsi="宋体" w:eastAsia="仿宋_GB2312"/>
                <w:b/>
                <w:sz w:val="24"/>
                <w:szCs w:val="24"/>
              </w:rPr>
              <w:t>（牵头单位：区科工商务局）</w:t>
            </w:r>
          </w:p>
        </w:tc>
        <w:tc>
          <w:tcPr>
            <w:tcW w:w="1134" w:type="dxa"/>
            <w:vAlign w:val="center"/>
          </w:tcPr>
          <w:p w14:paraId="27E90E9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1B78A476">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30AB6964">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415C920D">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4F1FE5F2">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6E01C352">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1C3B6D84">
            <w:pPr>
              <w:spacing w:line="300" w:lineRule="exact"/>
              <w:ind w:left="-107" w:leftChars="-51" w:right="-6" w:rightChars="-3" w:firstLine="600" w:firstLineChars="249"/>
              <w:rPr>
                <w:rFonts w:ascii="仿宋_GB2312" w:hAnsi="黑体" w:eastAsia="仿宋_GB2312" w:cs="Times New Roman"/>
                <w:b/>
                <w:sz w:val="24"/>
                <w:szCs w:val="24"/>
              </w:rPr>
            </w:pPr>
            <w:r>
              <w:rPr>
                <w:rFonts w:hint="eastAsia" w:ascii="仿宋_GB2312" w:hAnsi="黑体" w:eastAsia="仿宋_GB2312" w:cs="Times New Roman"/>
                <w:b/>
                <w:sz w:val="24"/>
                <w:szCs w:val="24"/>
              </w:rPr>
              <w:t>基本按时间进度完成。</w:t>
            </w:r>
          </w:p>
          <w:p w14:paraId="73D240B9">
            <w:pPr>
              <w:spacing w:line="300" w:lineRule="exact"/>
              <w:ind w:right="-6" w:rightChars="-3" w:firstLine="491" w:firstLineChars="205"/>
              <w:rPr>
                <w:rFonts w:ascii="仿宋_GB2312" w:hAnsi="黑体" w:eastAsia="仿宋_GB2312" w:cs="Times New Roman"/>
                <w:sz w:val="24"/>
                <w:szCs w:val="24"/>
              </w:rPr>
            </w:pPr>
            <w:r>
              <w:rPr>
                <w:rFonts w:hint="eastAsia" w:ascii="仿宋_GB2312" w:hAnsi="黑体" w:eastAsia="仿宋_GB2312" w:cs="Times New Roman"/>
                <w:sz w:val="24"/>
                <w:szCs w:val="24"/>
              </w:rPr>
              <w:t>截至3月底，全区完成工业投资6.03亿元，同比下降25.67%。一季度松铃摩托、诺贝电机一汇食品等项目动工，兰芳园项目已试产运营。</w:t>
            </w:r>
          </w:p>
        </w:tc>
      </w:tr>
      <w:tr w14:paraId="2B3E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543" w:type="dxa"/>
            <w:vAlign w:val="center"/>
          </w:tcPr>
          <w:p w14:paraId="24D7D4CD">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6379FF8D">
            <w:pPr>
              <w:spacing w:line="300" w:lineRule="exact"/>
              <w:rPr>
                <w:rFonts w:ascii="仿宋_GB2312" w:hAnsi="宋体" w:eastAsia="仿宋_GB2312"/>
                <w:sz w:val="24"/>
                <w:szCs w:val="24"/>
              </w:rPr>
            </w:pPr>
            <w:r>
              <w:rPr>
                <w:rFonts w:hint="eastAsia" w:ascii="仿宋_GB2312" w:hAnsi="宋体" w:eastAsia="仿宋_GB2312"/>
                <w:sz w:val="24"/>
                <w:szCs w:val="24"/>
              </w:rPr>
              <w:t>提高项目落地率，特别是抓好中德人工智能产业园、中国</w:t>
            </w:r>
            <w:r>
              <w:rPr>
                <w:rFonts w:hint="eastAsia" w:ascii="宋体" w:hAnsi="宋体" w:cs="宋体"/>
                <w:sz w:val="24"/>
                <w:szCs w:val="24"/>
              </w:rPr>
              <w:t>•</w:t>
            </w:r>
            <w:r>
              <w:rPr>
                <w:rFonts w:hint="eastAsia" w:ascii="仿宋_GB2312" w:hAnsi="仿宋_GB2312" w:eastAsia="仿宋_GB2312" w:cs="仿宋_GB2312"/>
                <w:sz w:val="24"/>
                <w:szCs w:val="24"/>
              </w:rPr>
              <w:t>侨镇</w:t>
            </w:r>
            <w:r>
              <w:rPr>
                <w:rFonts w:hint="eastAsia" w:ascii="仿宋_GB2312" w:hAnsi="宋体" w:eastAsia="仿宋_GB2312"/>
                <w:sz w:val="24"/>
                <w:szCs w:val="24"/>
              </w:rPr>
              <w:t>等项目的落地。</w:t>
            </w:r>
            <w:r>
              <w:rPr>
                <w:rFonts w:hint="eastAsia" w:ascii="仿宋_GB2312" w:hAnsi="宋体" w:eastAsia="仿宋_GB2312"/>
                <w:b/>
                <w:sz w:val="24"/>
                <w:szCs w:val="24"/>
              </w:rPr>
              <w:t>（牵头单位：区科工商务局）</w:t>
            </w:r>
          </w:p>
        </w:tc>
        <w:tc>
          <w:tcPr>
            <w:tcW w:w="1134" w:type="dxa"/>
            <w:vAlign w:val="center"/>
          </w:tcPr>
          <w:p w14:paraId="6DE7CDD0">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77BA6999">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3BD23912">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0465F757">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p w14:paraId="7EE1E5A6">
            <w:pPr>
              <w:spacing w:line="300" w:lineRule="exact"/>
              <w:jc w:val="center"/>
              <w:rPr>
                <w:rFonts w:ascii="仿宋_GB2312" w:hAnsi="宋体" w:eastAsia="仿宋_GB2312"/>
                <w:sz w:val="24"/>
                <w:szCs w:val="24"/>
              </w:rPr>
            </w:pPr>
            <w:r>
              <w:rPr>
                <w:rFonts w:hint="eastAsia" w:ascii="仿宋_GB2312" w:hAnsi="宋体" w:eastAsia="仿宋_GB2312"/>
                <w:sz w:val="24"/>
                <w:szCs w:val="24"/>
              </w:rPr>
              <w:t>杜阮镇</w:t>
            </w:r>
          </w:p>
        </w:tc>
        <w:tc>
          <w:tcPr>
            <w:tcW w:w="7187" w:type="dxa"/>
            <w:vAlign w:val="center"/>
          </w:tcPr>
          <w:p w14:paraId="5BB465CD">
            <w:pPr>
              <w:spacing w:line="300" w:lineRule="exact"/>
              <w:ind w:left="-107" w:leftChars="-51" w:right="-6" w:rightChars="-3" w:firstLine="600" w:firstLineChars="249"/>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C2B69B7">
            <w:pPr>
              <w:spacing w:line="300" w:lineRule="exact"/>
              <w:ind w:right="-6" w:rightChars="-3" w:firstLine="491" w:firstLineChars="205"/>
              <w:rPr>
                <w:rFonts w:ascii="仿宋_GB2312" w:hAnsi="黑体" w:eastAsia="仿宋_GB2312" w:cs="Times New Roman"/>
                <w:sz w:val="24"/>
                <w:szCs w:val="24"/>
              </w:rPr>
            </w:pPr>
            <w:r>
              <w:rPr>
                <w:rFonts w:hint="eastAsia" w:ascii="仿宋_GB2312" w:hAnsi="黑体" w:eastAsia="仿宋_GB2312" w:cs="Times New Roman"/>
                <w:sz w:val="24"/>
                <w:szCs w:val="24"/>
              </w:rPr>
              <w:t>1.已分别与中德人工智能产业园、中国</w:t>
            </w:r>
            <w:r>
              <w:rPr>
                <w:rFonts w:hint="eastAsia" w:ascii="宋体" w:hAnsi="宋体" w:cs="宋体"/>
                <w:sz w:val="24"/>
                <w:szCs w:val="24"/>
              </w:rPr>
              <w:t>•</w:t>
            </w:r>
            <w:r>
              <w:rPr>
                <w:rFonts w:hint="eastAsia" w:ascii="仿宋_GB2312" w:hAnsi="仿宋_GB2312" w:eastAsia="仿宋_GB2312" w:cs="仿宋_GB2312"/>
                <w:sz w:val="24"/>
                <w:szCs w:val="24"/>
              </w:rPr>
              <w:t>侨镇签订投资框架协议。</w:t>
            </w:r>
          </w:p>
          <w:p w14:paraId="2E7C906E">
            <w:pPr>
              <w:spacing w:line="300" w:lineRule="exact"/>
              <w:ind w:right="-6" w:rightChars="-3" w:firstLine="491" w:firstLineChars="205"/>
              <w:rPr>
                <w:rFonts w:ascii="仿宋_GB2312" w:hAnsi="黑体" w:eastAsia="仿宋_GB2312" w:cs="Times New Roman"/>
                <w:sz w:val="24"/>
                <w:szCs w:val="24"/>
              </w:rPr>
            </w:pPr>
            <w:r>
              <w:rPr>
                <w:rFonts w:hint="eastAsia" w:ascii="仿宋_GB2312" w:hAnsi="黑体" w:eastAsia="仿宋_GB2312" w:cs="Times New Roman"/>
                <w:sz w:val="24"/>
                <w:szCs w:val="24"/>
              </w:rPr>
              <w:t>2.中德人工智能产业园项目用地调规手续已经市控规专委会审定，下一步将呈市控规委员会审议；中国</w:t>
            </w:r>
            <w:r>
              <w:rPr>
                <w:rFonts w:hint="eastAsia" w:ascii="宋体" w:hAnsi="宋体" w:cs="宋体"/>
                <w:sz w:val="24"/>
                <w:szCs w:val="24"/>
              </w:rPr>
              <w:t>•</w:t>
            </w:r>
            <w:r>
              <w:rPr>
                <w:rFonts w:hint="eastAsia" w:ascii="仿宋_GB2312" w:hAnsi="仿宋_GB2312" w:eastAsia="仿宋_GB2312" w:cs="仿宋_GB2312"/>
                <w:sz w:val="24"/>
                <w:szCs w:val="24"/>
              </w:rPr>
              <w:t>侨镇项目已于</w:t>
            </w:r>
            <w:r>
              <w:rPr>
                <w:rFonts w:hint="eastAsia" w:ascii="仿宋_GB2312" w:hAnsi="黑体" w:eastAsia="仿宋_GB2312" w:cs="Times New Roman"/>
                <w:sz w:val="24"/>
                <w:szCs w:val="24"/>
              </w:rPr>
              <w:t>2月拍得首期用地80亩。</w:t>
            </w:r>
          </w:p>
        </w:tc>
      </w:tr>
      <w:tr w14:paraId="7097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543" w:type="dxa"/>
            <w:vAlign w:val="center"/>
          </w:tcPr>
          <w:p w14:paraId="20D6A77F">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1483665">
            <w:pPr>
              <w:spacing w:line="300" w:lineRule="exact"/>
              <w:rPr>
                <w:rFonts w:ascii="仿宋_GB2312" w:hAnsi="宋体" w:eastAsia="仿宋_GB2312"/>
                <w:sz w:val="24"/>
                <w:szCs w:val="24"/>
              </w:rPr>
            </w:pPr>
            <w:r>
              <w:rPr>
                <w:rFonts w:hint="eastAsia" w:ascii="仿宋_GB2312" w:hAnsi="宋体" w:eastAsia="仿宋_GB2312"/>
                <w:sz w:val="24"/>
                <w:szCs w:val="24"/>
              </w:rPr>
              <w:t>力促项目动工，特别要督促近年已供地未动工的19个项目年内开工建设，力争全年新开工项目超30个。</w:t>
            </w:r>
            <w:r>
              <w:rPr>
                <w:rFonts w:hint="eastAsia" w:ascii="仿宋_GB2312" w:hAnsi="宋体" w:eastAsia="仿宋_GB2312"/>
                <w:b/>
                <w:sz w:val="24"/>
                <w:szCs w:val="24"/>
              </w:rPr>
              <w:t>（牵头单位：区科工商务局）</w:t>
            </w:r>
          </w:p>
        </w:tc>
        <w:tc>
          <w:tcPr>
            <w:tcW w:w="1134" w:type="dxa"/>
            <w:vAlign w:val="center"/>
          </w:tcPr>
          <w:p w14:paraId="78B9FC6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72CD520E">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10946938">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594AB9B9">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6A570DBA">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tc>
        <w:tc>
          <w:tcPr>
            <w:tcW w:w="7187" w:type="dxa"/>
            <w:vAlign w:val="center"/>
          </w:tcPr>
          <w:p w14:paraId="26162E6F">
            <w:pPr>
              <w:spacing w:line="300" w:lineRule="exact"/>
              <w:ind w:right="-6" w:rightChars="-3" w:firstLine="492" w:firstLineChars="204"/>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1F7588D">
            <w:pPr>
              <w:spacing w:line="300" w:lineRule="exact"/>
              <w:ind w:right="-6" w:rightChars="-3" w:firstLine="491" w:firstLineChars="205"/>
              <w:rPr>
                <w:rFonts w:ascii="仿宋_GB2312" w:hAnsi="黑体" w:eastAsia="仿宋_GB2312" w:cs="Times New Roman"/>
                <w:sz w:val="24"/>
                <w:szCs w:val="24"/>
              </w:rPr>
            </w:pPr>
            <w:r>
              <w:rPr>
                <w:rFonts w:hint="eastAsia" w:ascii="仿宋_GB2312" w:hAnsi="黑体" w:eastAsia="仿宋_GB2312" w:cs="Times New Roman"/>
                <w:sz w:val="24"/>
                <w:szCs w:val="24"/>
              </w:rPr>
              <w:t>1.集成液压装备制造项目、松铃摩托车配件项目、霞光照明增资扩产项目、白沙远扬茶叶市场项目、人才岛全岛水系治理项目等5个项目已开工建设；加滢化工二期增资扩产项目正办理报建手续。</w:t>
            </w:r>
          </w:p>
          <w:p w14:paraId="024F5C7F">
            <w:pPr>
              <w:spacing w:line="300" w:lineRule="exact"/>
              <w:ind w:right="-6" w:rightChars="-3" w:firstLine="491" w:firstLineChars="205"/>
              <w:rPr>
                <w:rFonts w:ascii="仿宋_GB2312" w:hAnsi="黑体" w:eastAsia="仿宋_GB2312" w:cs="Times New Roman"/>
                <w:sz w:val="24"/>
                <w:szCs w:val="24"/>
              </w:rPr>
            </w:pPr>
            <w:r>
              <w:rPr>
                <w:rFonts w:hint="eastAsia" w:ascii="仿宋_GB2312" w:hAnsi="黑体" w:eastAsia="仿宋_GB2312" w:cs="Times New Roman"/>
                <w:sz w:val="24"/>
                <w:szCs w:val="24"/>
              </w:rPr>
              <w:t>2.安捷物流园项目正在筹建；大湾区智慧教育小镇项目正处于前期规划设计阶段；迪浪大数据产业园项目已完成规划设计；美心食品（二期）项目正进行申请规划审批前期工作；威恒达五金项目正在筹建；江门侨镇项目正进行规划调研工作；竞晖电器项目正进行规划设计；今科机床项目正进行申报施工前期工作；诺贝插件机器人项目正在筹建。</w:t>
            </w:r>
          </w:p>
        </w:tc>
      </w:tr>
      <w:tr w14:paraId="190E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jc w:val="center"/>
        </w:trPr>
        <w:tc>
          <w:tcPr>
            <w:tcW w:w="543" w:type="dxa"/>
            <w:vAlign w:val="center"/>
          </w:tcPr>
          <w:p w14:paraId="756C9729">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B4200B2">
            <w:pPr>
              <w:spacing w:line="300" w:lineRule="exact"/>
              <w:rPr>
                <w:rFonts w:ascii="仿宋_GB2312" w:hAnsi="宋体" w:eastAsia="仿宋_GB2312"/>
                <w:sz w:val="24"/>
                <w:szCs w:val="24"/>
              </w:rPr>
            </w:pPr>
            <w:r>
              <w:rPr>
                <w:rFonts w:hint="eastAsia" w:ascii="仿宋_GB2312" w:hAnsi="宋体" w:eastAsia="仿宋_GB2312"/>
                <w:sz w:val="24"/>
                <w:szCs w:val="24"/>
              </w:rPr>
              <w:t>推动在建项目竣工投产，着力加快海目星、兰芳园食品等超5000万元的15个在建项目进度，力争年内投产。</w:t>
            </w:r>
            <w:r>
              <w:rPr>
                <w:rFonts w:hint="eastAsia" w:ascii="仿宋_GB2312" w:hAnsi="宋体" w:eastAsia="仿宋_GB2312"/>
                <w:b/>
                <w:sz w:val="24"/>
                <w:szCs w:val="24"/>
              </w:rPr>
              <w:t>（牵头单位：区科工商务局）</w:t>
            </w:r>
          </w:p>
        </w:tc>
        <w:tc>
          <w:tcPr>
            <w:tcW w:w="1134" w:type="dxa"/>
            <w:vAlign w:val="center"/>
          </w:tcPr>
          <w:p w14:paraId="11FD224D">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79DD0E34">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3F887A69">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0DAE6E11">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09494872">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133C0E6C">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8098DF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w:t>
            </w:r>
            <w:r>
              <w:rPr>
                <w:rFonts w:hint="eastAsia" w:ascii="仿宋_GB2312" w:hAnsi="黑体" w:eastAsia="仿宋_GB2312" w:cs="Times New Roman"/>
                <w:b/>
                <w:sz w:val="24"/>
                <w:szCs w:val="24"/>
              </w:rPr>
              <w:t>海目星项目</w:t>
            </w:r>
            <w:r>
              <w:rPr>
                <w:rFonts w:hint="eastAsia" w:ascii="仿宋_GB2312" w:hAnsi="黑体" w:eastAsia="仿宋_GB2312" w:cs="Times New Roman"/>
                <w:sz w:val="24"/>
                <w:szCs w:val="24"/>
              </w:rPr>
              <w:t>一期1、2号生产厂房进行室内安装工程，1号生活配套楼正进行主体框架施工，2号生活配套楼已封顶，正进行室内施工，计划于4月安装调试生产线设备，于5月正式投产；</w:t>
            </w:r>
            <w:r>
              <w:rPr>
                <w:rFonts w:hint="eastAsia" w:ascii="仿宋_GB2312" w:hAnsi="黑体" w:eastAsia="仿宋_GB2312" w:cs="Times New Roman"/>
                <w:b/>
                <w:sz w:val="24"/>
                <w:szCs w:val="24"/>
              </w:rPr>
              <w:t>兰芳园项目</w:t>
            </w:r>
            <w:r>
              <w:rPr>
                <w:rFonts w:hint="eastAsia" w:ascii="仿宋_GB2312" w:hAnsi="黑体" w:eastAsia="仿宋_GB2312" w:cs="Times New Roman"/>
                <w:sz w:val="24"/>
                <w:szCs w:val="24"/>
              </w:rPr>
              <w:t>项目正试产运营。</w:t>
            </w:r>
          </w:p>
          <w:p w14:paraId="55B6879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华电分布式能源热电冷联产项目和顶益方便面（顶益食品一期）项目已试产运营；现正全力推进激光产业园、科业电器、利华实业、美心集团综合智能制造中心（原美心食品项目）、天地壹号南园区项目(百草壹号及研发中心）、蒙德电气自动化设备制造、卓盛纸业、天壹食品、地尔汉宇骑龙山、骏东木业、鸿美达挤出机及注塑机自动化技术改造等项目建设进程。</w:t>
            </w:r>
          </w:p>
        </w:tc>
      </w:tr>
      <w:tr w14:paraId="233A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43" w:type="dxa"/>
            <w:vAlign w:val="center"/>
          </w:tcPr>
          <w:p w14:paraId="448EE600">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2ABB2AC">
            <w:pPr>
              <w:spacing w:line="300" w:lineRule="exact"/>
              <w:rPr>
                <w:rFonts w:ascii="仿宋_GB2312" w:hAnsi="宋体" w:eastAsia="仿宋_GB2312"/>
                <w:sz w:val="24"/>
                <w:szCs w:val="24"/>
              </w:rPr>
            </w:pPr>
            <w:r>
              <w:rPr>
                <w:rFonts w:hint="eastAsia" w:ascii="仿宋_GB2312" w:hAnsi="宋体" w:eastAsia="仿宋_GB2312"/>
                <w:sz w:val="24"/>
                <w:szCs w:val="24"/>
              </w:rPr>
              <w:t>推动顶益、华电新能源等项目尽快达到预期产出。</w:t>
            </w:r>
            <w:r>
              <w:rPr>
                <w:rFonts w:hint="eastAsia" w:ascii="仿宋_GB2312" w:hAnsi="宋体" w:eastAsia="仿宋_GB2312"/>
                <w:b/>
                <w:sz w:val="24"/>
                <w:szCs w:val="24"/>
              </w:rPr>
              <w:t>（牵头单位：区科工商务局）</w:t>
            </w:r>
          </w:p>
        </w:tc>
        <w:tc>
          <w:tcPr>
            <w:tcW w:w="1134" w:type="dxa"/>
            <w:vAlign w:val="center"/>
          </w:tcPr>
          <w:p w14:paraId="5F1FF040">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581635BB">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2295BD26">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21B36F51">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70F043D7">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771248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截至3月底，顶益项目实现产值3.81亿元，华电新能源实现产值0.72亿元。</w:t>
            </w:r>
          </w:p>
        </w:tc>
      </w:tr>
      <w:tr w14:paraId="623D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543" w:type="dxa"/>
            <w:vMerge w:val="restart"/>
            <w:vAlign w:val="center"/>
          </w:tcPr>
          <w:p w14:paraId="04C634E1">
            <w:pPr>
              <w:numPr>
                <w:ilvl w:val="0"/>
                <w:numId w:val="2"/>
              </w:numPr>
              <w:spacing w:line="300" w:lineRule="exact"/>
              <w:jc w:val="center"/>
              <w:rPr>
                <w:rFonts w:ascii="仿宋_GB2312" w:hAnsi="黑体" w:eastAsia="仿宋_GB2312" w:cs="仿宋_GB2312"/>
                <w:sz w:val="24"/>
                <w:szCs w:val="24"/>
              </w:rPr>
            </w:pPr>
          </w:p>
        </w:tc>
        <w:tc>
          <w:tcPr>
            <w:tcW w:w="3415" w:type="dxa"/>
            <w:gridSpan w:val="3"/>
            <w:vMerge w:val="restart"/>
            <w:vAlign w:val="center"/>
          </w:tcPr>
          <w:p w14:paraId="3632C507">
            <w:pPr>
              <w:spacing w:line="300" w:lineRule="exact"/>
              <w:rPr>
                <w:rFonts w:ascii="仿宋_GB2312" w:hAnsi="宋体" w:eastAsia="仿宋_GB2312"/>
                <w:sz w:val="24"/>
                <w:szCs w:val="24"/>
              </w:rPr>
            </w:pPr>
            <w:r>
              <w:rPr>
                <w:rFonts w:hint="eastAsia" w:ascii="仿宋_GB2312" w:hAnsi="宋体" w:eastAsia="仿宋_GB2312"/>
                <w:sz w:val="24"/>
                <w:szCs w:val="24"/>
              </w:rPr>
              <w:t>支持引导企业开展技术改造和增资扩产，力争技改投资增长超12%，落实技改奖补政策，推动海信空调等企业开展“机器人应用”改造。</w:t>
            </w:r>
            <w:r>
              <w:rPr>
                <w:rFonts w:hint="eastAsia" w:ascii="仿宋_GB2312" w:hAnsi="宋体" w:eastAsia="仿宋_GB2312"/>
                <w:b/>
                <w:sz w:val="24"/>
                <w:szCs w:val="24"/>
              </w:rPr>
              <w:t>（牵头单位：区科工商务局）</w:t>
            </w:r>
          </w:p>
        </w:tc>
        <w:tc>
          <w:tcPr>
            <w:tcW w:w="1134" w:type="dxa"/>
            <w:vMerge w:val="restart"/>
            <w:vAlign w:val="center"/>
          </w:tcPr>
          <w:p w14:paraId="048698F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Merge w:val="restart"/>
            <w:vAlign w:val="center"/>
          </w:tcPr>
          <w:p w14:paraId="564D6C0C">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5E26589A">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4CCCAFB5">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Merge w:val="restart"/>
            <w:vAlign w:val="center"/>
          </w:tcPr>
          <w:p w14:paraId="605FEBFC">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6C5A6A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1.截至3月底，全区完成技改投资1.39亿元，同比增长23123.33%。</w:t>
            </w:r>
          </w:p>
          <w:p w14:paraId="3C4B9A0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2.现正全力推动海信空调、德邑大卫浴、协立磁业等企业开展“机器人应用”改造。</w:t>
            </w:r>
          </w:p>
        </w:tc>
      </w:tr>
      <w:tr w14:paraId="30B2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543" w:type="dxa"/>
            <w:vMerge w:val="continue"/>
            <w:vAlign w:val="center"/>
          </w:tcPr>
          <w:p w14:paraId="4A72F57C">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6F89B812">
            <w:pPr>
              <w:spacing w:line="300" w:lineRule="exact"/>
              <w:rPr>
                <w:rFonts w:ascii="仿宋_GB2312" w:hAnsi="宋体" w:eastAsia="仿宋_GB2312"/>
                <w:sz w:val="24"/>
                <w:szCs w:val="24"/>
              </w:rPr>
            </w:pPr>
          </w:p>
        </w:tc>
        <w:tc>
          <w:tcPr>
            <w:tcW w:w="1134" w:type="dxa"/>
            <w:vMerge w:val="continue"/>
            <w:vAlign w:val="center"/>
          </w:tcPr>
          <w:p w14:paraId="015473F5">
            <w:pPr>
              <w:spacing w:line="300" w:lineRule="exact"/>
              <w:jc w:val="center"/>
              <w:rPr>
                <w:rFonts w:ascii="仿宋_GB2312" w:hAnsi="宋体" w:eastAsia="仿宋_GB2312" w:cs="Times New Roman"/>
                <w:sz w:val="24"/>
                <w:szCs w:val="24"/>
              </w:rPr>
            </w:pPr>
          </w:p>
        </w:tc>
        <w:tc>
          <w:tcPr>
            <w:tcW w:w="3119" w:type="dxa"/>
            <w:vMerge w:val="continue"/>
            <w:vAlign w:val="center"/>
          </w:tcPr>
          <w:p w14:paraId="470D1A15">
            <w:pPr>
              <w:spacing w:line="300" w:lineRule="exact"/>
              <w:jc w:val="center"/>
              <w:rPr>
                <w:rFonts w:ascii="仿宋_GB2312" w:hAnsi="宋体" w:eastAsia="仿宋_GB2312"/>
                <w:sz w:val="24"/>
                <w:szCs w:val="24"/>
              </w:rPr>
            </w:pPr>
          </w:p>
        </w:tc>
        <w:tc>
          <w:tcPr>
            <w:tcW w:w="7187" w:type="dxa"/>
            <w:vMerge w:val="continue"/>
            <w:vAlign w:val="center"/>
          </w:tcPr>
          <w:p w14:paraId="798FD440">
            <w:pPr>
              <w:spacing w:line="300" w:lineRule="exact"/>
              <w:ind w:firstLine="375"/>
              <w:rPr>
                <w:rFonts w:ascii="仿宋_GB2312" w:hAnsi="黑体" w:eastAsia="仿宋_GB2312" w:cs="Times New Roman"/>
                <w:sz w:val="24"/>
                <w:szCs w:val="24"/>
              </w:rPr>
            </w:pPr>
          </w:p>
        </w:tc>
      </w:tr>
      <w:tr w14:paraId="3EF0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43" w:type="dxa"/>
            <w:vAlign w:val="center"/>
          </w:tcPr>
          <w:p w14:paraId="497022A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0E2A8D2C">
            <w:pPr>
              <w:spacing w:line="300" w:lineRule="exact"/>
              <w:rPr>
                <w:rFonts w:ascii="仿宋_GB2312" w:hAnsi="宋体" w:eastAsia="仿宋_GB2312"/>
                <w:sz w:val="24"/>
                <w:szCs w:val="24"/>
              </w:rPr>
            </w:pPr>
            <w:r>
              <w:rPr>
                <w:rFonts w:hint="eastAsia" w:ascii="仿宋_GB2312" w:hAnsi="宋体" w:eastAsia="仿宋_GB2312"/>
                <w:sz w:val="24"/>
                <w:szCs w:val="24"/>
              </w:rPr>
              <w:t>重点推动海信电子、天地壹号等企业开展增资扩产。</w:t>
            </w:r>
            <w:r>
              <w:rPr>
                <w:rFonts w:hint="eastAsia" w:ascii="仿宋_GB2312" w:hAnsi="宋体" w:eastAsia="仿宋_GB2312"/>
                <w:b/>
                <w:sz w:val="24"/>
                <w:szCs w:val="24"/>
              </w:rPr>
              <w:t>（牵头单位：区科工商务局）</w:t>
            </w:r>
          </w:p>
        </w:tc>
        <w:tc>
          <w:tcPr>
            <w:tcW w:w="1134" w:type="dxa"/>
            <w:vAlign w:val="center"/>
          </w:tcPr>
          <w:p w14:paraId="638C3905">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16AC11A0">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7A7D01D5">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5D0F1DC4">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7587CA11">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18294F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天地壹号南园区项目一期厂房已试产，宿舍楼已投入使用；研发中心已完成建设，正在进行验收；项目二期工程已完成土方平整，将于近期动工建设。</w:t>
            </w:r>
          </w:p>
        </w:tc>
      </w:tr>
      <w:tr w14:paraId="5377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43" w:type="dxa"/>
            <w:vAlign w:val="center"/>
          </w:tcPr>
          <w:p w14:paraId="5078871E">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35C3DE4">
            <w:pPr>
              <w:spacing w:line="300" w:lineRule="exact"/>
              <w:rPr>
                <w:rFonts w:ascii="仿宋_GB2312" w:hAnsi="宋体" w:eastAsia="仿宋_GB2312"/>
                <w:sz w:val="24"/>
                <w:szCs w:val="24"/>
              </w:rPr>
            </w:pPr>
            <w:r>
              <w:rPr>
                <w:rFonts w:hint="eastAsia" w:ascii="仿宋_GB2312" w:hAnsi="宋体" w:eastAsia="仿宋_GB2312"/>
                <w:sz w:val="24"/>
                <w:szCs w:val="24"/>
              </w:rPr>
              <w:t>助力重点企业扩大产能、上新项目，支持大长江启动总投资32亿元的智能制造和整体搬迁项目。</w:t>
            </w:r>
            <w:r>
              <w:rPr>
                <w:rFonts w:hint="eastAsia" w:ascii="仿宋_GB2312" w:hAnsi="宋体" w:eastAsia="仿宋_GB2312"/>
                <w:b/>
                <w:sz w:val="24"/>
                <w:szCs w:val="24"/>
              </w:rPr>
              <w:t>（牵头单位：区科工商务局）</w:t>
            </w:r>
          </w:p>
        </w:tc>
        <w:tc>
          <w:tcPr>
            <w:tcW w:w="1134" w:type="dxa"/>
            <w:vAlign w:val="center"/>
          </w:tcPr>
          <w:p w14:paraId="423A7036">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0E48229B">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0DEB23BF">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030417F7">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4383CEB5">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p w14:paraId="40050C7F">
            <w:pPr>
              <w:spacing w:line="300" w:lineRule="exact"/>
              <w:jc w:val="center"/>
              <w:rPr>
                <w:rFonts w:ascii="仿宋_GB2312" w:hAnsi="宋体" w:eastAsia="仿宋_GB2312"/>
                <w:sz w:val="24"/>
                <w:szCs w:val="24"/>
              </w:rPr>
            </w:pPr>
            <w:r>
              <w:rPr>
                <w:rFonts w:hint="eastAsia" w:ascii="仿宋_GB2312" w:hAnsi="宋体" w:eastAsia="仿宋_GB2312"/>
                <w:sz w:val="24"/>
                <w:szCs w:val="24"/>
              </w:rPr>
              <w:t>棠下镇</w:t>
            </w:r>
          </w:p>
        </w:tc>
        <w:tc>
          <w:tcPr>
            <w:tcW w:w="7187" w:type="dxa"/>
            <w:vAlign w:val="center"/>
          </w:tcPr>
          <w:p w14:paraId="5F95B5B1">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1870EF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棠下镇正在进行征地拆迁工作，大长江集团正在对智能制造和整体搬迁项目进行规划设计。</w:t>
            </w:r>
          </w:p>
        </w:tc>
      </w:tr>
      <w:tr w14:paraId="47F9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jc w:val="center"/>
        </w:trPr>
        <w:tc>
          <w:tcPr>
            <w:tcW w:w="543" w:type="dxa"/>
            <w:vAlign w:val="center"/>
          </w:tcPr>
          <w:p w14:paraId="29C62A9D">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0B364C6">
            <w:pPr>
              <w:spacing w:line="300" w:lineRule="exact"/>
              <w:rPr>
                <w:rFonts w:ascii="仿宋_GB2312" w:hAnsi="宋体" w:eastAsia="仿宋_GB2312"/>
                <w:sz w:val="24"/>
                <w:szCs w:val="24"/>
              </w:rPr>
            </w:pPr>
            <w:r>
              <w:rPr>
                <w:rFonts w:hint="eastAsia" w:ascii="仿宋_GB2312" w:hAnsi="宋体" w:eastAsia="仿宋_GB2312"/>
                <w:sz w:val="24"/>
                <w:szCs w:val="24"/>
              </w:rPr>
              <w:t>充分发挥中心城区优势，重点推动第三产业提档升级和产城融合发展，力争全年第三产业增加值比重达61%。</w:t>
            </w:r>
            <w:r>
              <w:rPr>
                <w:rFonts w:hint="eastAsia" w:ascii="仿宋_GB2312" w:hAnsi="宋体" w:eastAsia="仿宋_GB2312"/>
                <w:b/>
                <w:sz w:val="24"/>
                <w:szCs w:val="24"/>
              </w:rPr>
              <w:t>（牵头单位：区发展和改革局）</w:t>
            </w:r>
          </w:p>
        </w:tc>
        <w:tc>
          <w:tcPr>
            <w:tcW w:w="1134" w:type="dxa"/>
            <w:vAlign w:val="center"/>
          </w:tcPr>
          <w:p w14:paraId="7A9FC969">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060FA9F2">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58C1AB55">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0749FCAB">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2B778948">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26ED688A">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区文化广电旅游体育局</w:t>
            </w:r>
          </w:p>
          <w:p w14:paraId="59E52CD1">
            <w:pPr>
              <w:spacing w:line="300" w:lineRule="exact"/>
              <w:jc w:val="center"/>
              <w:rPr>
                <w:rFonts w:ascii="仿宋_GB2312" w:hAnsi="宋体" w:eastAsia="仿宋_GB2312"/>
                <w:sz w:val="24"/>
                <w:szCs w:val="24"/>
              </w:rPr>
            </w:pPr>
            <w:r>
              <w:rPr>
                <w:rFonts w:hint="eastAsia" w:ascii="仿宋_GB2312" w:hAnsi="宋体" w:eastAsia="仿宋_GB2312"/>
                <w:sz w:val="24"/>
                <w:szCs w:val="24"/>
              </w:rPr>
              <w:t>区统计局</w:t>
            </w:r>
          </w:p>
          <w:p w14:paraId="3783EE00">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322F8F76">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8E23CA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1.已与国瑞地产就总部基地开发签订投资框架协议。</w:t>
            </w:r>
          </w:p>
          <w:p w14:paraId="5DF2EAD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2.推动展会活动常态化。截至3月底，蓬江区已举办春季车展、童博会等展会活动共5场；现正协助汽车行业协会开展汽车315促销活动；中国侨镇项目、创显科教项目、迪浪大数据产业园项目均已落地。</w:t>
            </w:r>
          </w:p>
          <w:p w14:paraId="224FD15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积极引导江门市中宏合创汽车交易有限责任公司在杜阮镇成立二手车交易市场；积极跟进华润置地、华润电力和珠海华发更新置业公司等新引进企业的发展工作;现正加快推进江门市远杨物流茶业市场项目招商引资和建设进程。</w:t>
            </w:r>
          </w:p>
        </w:tc>
      </w:tr>
      <w:tr w14:paraId="2E92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43" w:type="dxa"/>
            <w:vAlign w:val="center"/>
          </w:tcPr>
          <w:p w14:paraId="500A4591">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665ACFC">
            <w:pPr>
              <w:spacing w:line="300" w:lineRule="exact"/>
              <w:rPr>
                <w:rFonts w:ascii="仿宋_GB2312" w:hAnsi="宋体" w:eastAsia="仿宋_GB2312"/>
                <w:sz w:val="24"/>
                <w:szCs w:val="24"/>
              </w:rPr>
            </w:pPr>
            <w:r>
              <w:rPr>
                <w:rFonts w:hint="eastAsia" w:ascii="仿宋_GB2312" w:hAnsi="宋体" w:eastAsia="仿宋_GB2312"/>
                <w:sz w:val="24"/>
                <w:szCs w:val="24"/>
              </w:rPr>
              <w:t>推动主（旧）城区商贸经济提质，因地制宜发展专业市场。</w:t>
            </w:r>
            <w:r>
              <w:rPr>
                <w:rFonts w:hint="eastAsia" w:ascii="仿宋_GB2312" w:hAnsi="宋体" w:eastAsia="仿宋_GB2312"/>
                <w:b/>
                <w:sz w:val="24"/>
                <w:szCs w:val="24"/>
              </w:rPr>
              <w:t>（牵头单位：区科工商务局）</w:t>
            </w:r>
          </w:p>
        </w:tc>
        <w:tc>
          <w:tcPr>
            <w:tcW w:w="1134" w:type="dxa"/>
            <w:vAlign w:val="center"/>
          </w:tcPr>
          <w:p w14:paraId="4A2387C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3BB07140">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5D8DE1BE">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0C93928E">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D728B7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现正协助江门市中宏合创汽车交易有限责任公司在杜阮镇成立二手车交易市场。</w:t>
            </w:r>
          </w:p>
        </w:tc>
      </w:tr>
      <w:tr w14:paraId="2ED4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43" w:type="dxa"/>
            <w:vMerge w:val="restart"/>
            <w:vAlign w:val="center"/>
          </w:tcPr>
          <w:p w14:paraId="44504D56">
            <w:pPr>
              <w:numPr>
                <w:ilvl w:val="0"/>
                <w:numId w:val="2"/>
              </w:numPr>
              <w:spacing w:line="300" w:lineRule="exact"/>
              <w:jc w:val="center"/>
              <w:rPr>
                <w:rFonts w:ascii="仿宋_GB2312" w:hAnsi="黑体" w:eastAsia="仿宋_GB2312" w:cs="仿宋_GB2312"/>
                <w:sz w:val="24"/>
                <w:szCs w:val="24"/>
              </w:rPr>
            </w:pPr>
          </w:p>
        </w:tc>
        <w:tc>
          <w:tcPr>
            <w:tcW w:w="3415" w:type="dxa"/>
            <w:gridSpan w:val="3"/>
            <w:vMerge w:val="restart"/>
            <w:vAlign w:val="center"/>
          </w:tcPr>
          <w:p w14:paraId="3E6DA491">
            <w:pPr>
              <w:spacing w:line="300" w:lineRule="exact"/>
              <w:rPr>
                <w:rFonts w:ascii="仿宋_GB2312" w:hAnsi="宋体" w:eastAsia="仿宋_GB2312"/>
                <w:sz w:val="24"/>
                <w:szCs w:val="24"/>
              </w:rPr>
            </w:pPr>
            <w:r>
              <w:rPr>
                <w:rFonts w:hint="eastAsia" w:ascii="仿宋_GB2312" w:hAnsi="宋体" w:eastAsia="仿宋_GB2312"/>
                <w:sz w:val="24"/>
                <w:szCs w:val="24"/>
              </w:rPr>
              <w:t>修订完善我区促进民营经济发展相关政策，全面推动政府职能由审批向引导、服务、监管转变，大力营造宽松、透明、便利、公平营商环境，着力帮助企业、尤其是民营企业排忧解难。</w:t>
            </w:r>
            <w:r>
              <w:rPr>
                <w:rFonts w:hint="eastAsia" w:ascii="仿宋_GB2312" w:hAnsi="宋体" w:eastAsia="仿宋_GB2312"/>
                <w:b/>
                <w:sz w:val="24"/>
                <w:szCs w:val="24"/>
              </w:rPr>
              <w:t>（牵头单位：区科工商务局）</w:t>
            </w:r>
          </w:p>
        </w:tc>
        <w:tc>
          <w:tcPr>
            <w:tcW w:w="1134" w:type="dxa"/>
            <w:vMerge w:val="restart"/>
            <w:vAlign w:val="center"/>
          </w:tcPr>
          <w:p w14:paraId="22CE0A01">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Merge w:val="restart"/>
            <w:vAlign w:val="center"/>
          </w:tcPr>
          <w:p w14:paraId="2E4C58B9">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36538C5E">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034E1883">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740BED29">
            <w:pPr>
              <w:spacing w:line="300" w:lineRule="exact"/>
              <w:jc w:val="center"/>
              <w:rPr>
                <w:rFonts w:ascii="仿宋_GB2312" w:hAnsi="宋体" w:eastAsia="仿宋_GB2312"/>
                <w:sz w:val="24"/>
                <w:szCs w:val="24"/>
              </w:rPr>
            </w:pPr>
            <w:r>
              <w:rPr>
                <w:rFonts w:hint="eastAsia" w:ascii="仿宋_GB2312" w:hAnsi="宋体" w:eastAsia="仿宋_GB2312"/>
                <w:sz w:val="24"/>
                <w:szCs w:val="24"/>
              </w:rPr>
              <w:t>区教育局</w:t>
            </w:r>
          </w:p>
          <w:p w14:paraId="5687B82B">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0699ACB0">
            <w:pPr>
              <w:spacing w:line="300" w:lineRule="exact"/>
              <w:jc w:val="center"/>
              <w:rPr>
                <w:rFonts w:ascii="仿宋_GB2312" w:hAnsi="宋体" w:eastAsia="仿宋_GB2312"/>
                <w:sz w:val="24"/>
                <w:szCs w:val="24"/>
              </w:rPr>
            </w:pPr>
            <w:r>
              <w:rPr>
                <w:rFonts w:hint="eastAsia" w:ascii="仿宋_GB2312" w:hAnsi="宋体" w:eastAsia="仿宋_GB2312"/>
                <w:sz w:val="24"/>
                <w:szCs w:val="24"/>
              </w:rPr>
              <w:t>区人力资源和社会保障局</w:t>
            </w:r>
          </w:p>
          <w:p w14:paraId="6843CFA4">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23A78868">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6A922AC7">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区文化广电旅游体育局</w:t>
            </w:r>
          </w:p>
          <w:p w14:paraId="3742FEBE">
            <w:pPr>
              <w:spacing w:line="300" w:lineRule="exact"/>
              <w:jc w:val="center"/>
              <w:rPr>
                <w:rFonts w:ascii="仿宋_GB2312" w:hAnsi="宋体" w:eastAsia="仿宋_GB2312"/>
                <w:sz w:val="24"/>
                <w:szCs w:val="24"/>
              </w:rPr>
            </w:pPr>
            <w:r>
              <w:rPr>
                <w:rFonts w:hint="eastAsia" w:ascii="仿宋_GB2312" w:hAnsi="宋体" w:eastAsia="仿宋_GB2312"/>
                <w:sz w:val="24"/>
                <w:szCs w:val="24"/>
              </w:rPr>
              <w:t>区卫生健康局</w:t>
            </w:r>
          </w:p>
          <w:p w14:paraId="07F94F78">
            <w:pPr>
              <w:spacing w:line="300" w:lineRule="exact"/>
              <w:jc w:val="center"/>
              <w:rPr>
                <w:rFonts w:ascii="仿宋_GB2312" w:hAnsi="宋体" w:eastAsia="仿宋_GB2312"/>
                <w:sz w:val="24"/>
                <w:szCs w:val="24"/>
              </w:rPr>
            </w:pPr>
            <w:r>
              <w:rPr>
                <w:rFonts w:hint="eastAsia" w:ascii="仿宋_GB2312" w:hAnsi="宋体" w:eastAsia="仿宋_GB2312"/>
                <w:sz w:val="24"/>
                <w:szCs w:val="24"/>
              </w:rPr>
              <w:t>区国有资产监督管理局</w:t>
            </w:r>
          </w:p>
          <w:p w14:paraId="44D4F4B8">
            <w:pPr>
              <w:spacing w:line="300" w:lineRule="exact"/>
              <w:jc w:val="center"/>
              <w:rPr>
                <w:rFonts w:ascii="仿宋_GB2312" w:hAnsi="宋体" w:eastAsia="仿宋_GB2312"/>
                <w:sz w:val="24"/>
                <w:szCs w:val="24"/>
              </w:rPr>
            </w:pPr>
            <w:r>
              <w:rPr>
                <w:rFonts w:hint="eastAsia" w:ascii="仿宋_GB2312" w:hAnsi="宋体" w:eastAsia="仿宋_GB2312"/>
                <w:sz w:val="24"/>
                <w:szCs w:val="24"/>
              </w:rPr>
              <w:t>区市场监管局</w:t>
            </w:r>
          </w:p>
          <w:p w14:paraId="2699E597">
            <w:pPr>
              <w:spacing w:line="300" w:lineRule="exact"/>
              <w:jc w:val="center"/>
              <w:rPr>
                <w:rFonts w:ascii="仿宋_GB2312" w:hAnsi="宋体" w:eastAsia="仿宋_GB2312"/>
                <w:sz w:val="24"/>
                <w:szCs w:val="24"/>
              </w:rPr>
            </w:pPr>
            <w:r>
              <w:rPr>
                <w:rFonts w:hint="eastAsia" w:ascii="仿宋_GB2312" w:hAnsi="宋体" w:eastAsia="仿宋_GB2312"/>
                <w:sz w:val="24"/>
                <w:szCs w:val="24"/>
              </w:rPr>
              <w:t>区法院</w:t>
            </w:r>
          </w:p>
          <w:p w14:paraId="1579BC20">
            <w:pPr>
              <w:spacing w:line="300" w:lineRule="exact"/>
              <w:jc w:val="center"/>
              <w:rPr>
                <w:rFonts w:ascii="仿宋_GB2312" w:hAnsi="宋体" w:eastAsia="仿宋_GB2312"/>
                <w:sz w:val="24"/>
                <w:szCs w:val="24"/>
              </w:rPr>
            </w:pPr>
            <w:r>
              <w:rPr>
                <w:rFonts w:hint="eastAsia" w:ascii="仿宋_GB2312" w:hAnsi="宋体" w:eastAsia="仿宋_GB2312"/>
                <w:sz w:val="24"/>
                <w:szCs w:val="24"/>
              </w:rPr>
              <w:t>区税务局</w:t>
            </w:r>
          </w:p>
          <w:p w14:paraId="25E6A7B6">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Merge w:val="restart"/>
            <w:vAlign w:val="center"/>
          </w:tcPr>
          <w:p w14:paraId="155BE152">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AE0789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1.积极举办政策宣贯会，邀请业务专家对民营经济政策进行全面解读；已配合市政府举办2场大规模千人宣讲会。</w:t>
            </w:r>
          </w:p>
          <w:p w14:paraId="4BE09E6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全面落实“多证合一”、“证照分离”、简易注销、全程电子化、名称自主申报等一系列商改措施，并积极承接外商投资企业登记等下放行政审批事项，进一步推进“简政放权”，优化营商环境，激发市场活力。截至3月底，已办理企业简易注销登记192宗，全程电子化业务632宗，外商投资企业登记业务3宗，共有800多家企业通过名称自主申报系统成功申报企业名称。</w:t>
            </w:r>
          </w:p>
        </w:tc>
      </w:tr>
      <w:tr w14:paraId="1C18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jc w:val="center"/>
        </w:trPr>
        <w:tc>
          <w:tcPr>
            <w:tcW w:w="543" w:type="dxa"/>
            <w:vMerge w:val="continue"/>
            <w:vAlign w:val="center"/>
          </w:tcPr>
          <w:p w14:paraId="21433E46">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4176A6B6">
            <w:pPr>
              <w:spacing w:line="300" w:lineRule="exact"/>
              <w:rPr>
                <w:rFonts w:ascii="仿宋_GB2312" w:hAnsi="宋体" w:eastAsia="仿宋_GB2312"/>
                <w:sz w:val="24"/>
                <w:szCs w:val="24"/>
              </w:rPr>
            </w:pPr>
          </w:p>
        </w:tc>
        <w:tc>
          <w:tcPr>
            <w:tcW w:w="1134" w:type="dxa"/>
            <w:vMerge w:val="continue"/>
            <w:vAlign w:val="center"/>
          </w:tcPr>
          <w:p w14:paraId="4D631579">
            <w:pPr>
              <w:spacing w:line="300" w:lineRule="exact"/>
              <w:jc w:val="center"/>
              <w:rPr>
                <w:rFonts w:ascii="仿宋_GB2312" w:hAnsi="宋体" w:eastAsia="仿宋_GB2312" w:cs="Times New Roman"/>
                <w:sz w:val="24"/>
                <w:szCs w:val="24"/>
              </w:rPr>
            </w:pPr>
          </w:p>
        </w:tc>
        <w:tc>
          <w:tcPr>
            <w:tcW w:w="3119" w:type="dxa"/>
            <w:vMerge w:val="continue"/>
            <w:vAlign w:val="center"/>
          </w:tcPr>
          <w:p w14:paraId="5A7292D1">
            <w:pPr>
              <w:spacing w:line="300" w:lineRule="exact"/>
              <w:jc w:val="center"/>
              <w:rPr>
                <w:rFonts w:ascii="仿宋_GB2312" w:hAnsi="宋体" w:eastAsia="仿宋_GB2312"/>
                <w:sz w:val="24"/>
                <w:szCs w:val="24"/>
              </w:rPr>
            </w:pPr>
          </w:p>
        </w:tc>
        <w:tc>
          <w:tcPr>
            <w:tcW w:w="7187" w:type="dxa"/>
            <w:vMerge w:val="continue"/>
            <w:vAlign w:val="center"/>
          </w:tcPr>
          <w:p w14:paraId="7B0D316D">
            <w:pPr>
              <w:spacing w:line="300" w:lineRule="exact"/>
              <w:ind w:firstLine="480" w:firstLineChars="200"/>
              <w:rPr>
                <w:rFonts w:ascii="仿宋_GB2312" w:hAnsi="黑体" w:eastAsia="仿宋_GB2312" w:cs="Times New Roman"/>
                <w:sz w:val="24"/>
                <w:szCs w:val="24"/>
              </w:rPr>
            </w:pPr>
          </w:p>
        </w:tc>
      </w:tr>
      <w:tr w14:paraId="624A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jc w:val="center"/>
        </w:trPr>
        <w:tc>
          <w:tcPr>
            <w:tcW w:w="543" w:type="dxa"/>
            <w:vAlign w:val="center"/>
          </w:tcPr>
          <w:p w14:paraId="14AF15B4">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930C461">
            <w:pPr>
              <w:spacing w:line="300" w:lineRule="exact"/>
              <w:rPr>
                <w:rFonts w:ascii="仿宋_GB2312" w:hAnsi="宋体" w:eastAsia="仿宋_GB2312"/>
                <w:sz w:val="24"/>
                <w:szCs w:val="24"/>
              </w:rPr>
            </w:pPr>
            <w:r>
              <w:rPr>
                <w:rFonts w:hint="eastAsia" w:ascii="仿宋_GB2312" w:hAnsi="宋体" w:eastAsia="仿宋_GB2312"/>
                <w:sz w:val="24"/>
                <w:szCs w:val="24"/>
              </w:rPr>
              <w:t>充分发挥区工商联、各级商会、行业协会的桥梁纽带作用，结合区四套班子成员、镇街领导定点联系帮扶企业制度，深入开展暖企安商。</w:t>
            </w:r>
            <w:r>
              <w:rPr>
                <w:rFonts w:hint="eastAsia" w:ascii="仿宋_GB2312" w:hAnsi="宋体" w:eastAsia="仿宋_GB2312"/>
                <w:b/>
                <w:sz w:val="24"/>
                <w:szCs w:val="24"/>
              </w:rPr>
              <w:t>（牵头单位：区工商联）</w:t>
            </w:r>
          </w:p>
        </w:tc>
        <w:tc>
          <w:tcPr>
            <w:tcW w:w="1134" w:type="dxa"/>
            <w:vAlign w:val="center"/>
          </w:tcPr>
          <w:p w14:paraId="02235BA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林建中</w:t>
            </w:r>
          </w:p>
        </w:tc>
        <w:tc>
          <w:tcPr>
            <w:tcW w:w="3119" w:type="dxa"/>
            <w:vAlign w:val="center"/>
          </w:tcPr>
          <w:p w14:paraId="39AAAAE6">
            <w:pPr>
              <w:spacing w:line="300" w:lineRule="exact"/>
              <w:jc w:val="center"/>
              <w:rPr>
                <w:rFonts w:ascii="仿宋_GB2312" w:hAnsi="宋体" w:eastAsia="仿宋_GB2312"/>
                <w:sz w:val="24"/>
                <w:szCs w:val="24"/>
              </w:rPr>
            </w:pPr>
            <w:r>
              <w:rPr>
                <w:rFonts w:hint="eastAsia" w:ascii="仿宋_GB2312" w:hAnsi="宋体" w:eastAsia="仿宋_GB2312"/>
                <w:sz w:val="24"/>
                <w:szCs w:val="24"/>
              </w:rPr>
              <w:t>区工商联</w:t>
            </w:r>
          </w:p>
          <w:p w14:paraId="7CE3554A">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21E3EA66">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0E97AD75">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1742B5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1.已根据区委、区政府工作部署，草拟《蓬江区2019年区领导联系重点企业（暖企）行动方案》（征求意见稿），现正征求各镇街、区直各部门的意见，对纳入联系的重点企业进行核实，全力推进行动方案的落实。</w:t>
            </w:r>
          </w:p>
          <w:p w14:paraId="4EAF206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2.积极开展暖企行动，了解企业的生产经营情况及今年的生产计划，向企业宣传科技、技改等扶持政策，同时收集企业反映的问题，协调推进解决。</w:t>
            </w:r>
          </w:p>
        </w:tc>
      </w:tr>
      <w:tr w14:paraId="2A12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jc w:val="center"/>
        </w:trPr>
        <w:tc>
          <w:tcPr>
            <w:tcW w:w="543" w:type="dxa"/>
            <w:vAlign w:val="center"/>
          </w:tcPr>
          <w:p w14:paraId="28D8B458">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0911D68">
            <w:pPr>
              <w:spacing w:line="300" w:lineRule="exact"/>
              <w:rPr>
                <w:rFonts w:ascii="仿宋_GB2312" w:hAnsi="宋体" w:eastAsia="仿宋_GB2312"/>
                <w:sz w:val="24"/>
                <w:szCs w:val="24"/>
              </w:rPr>
            </w:pPr>
            <w:r>
              <w:rPr>
                <w:rFonts w:hint="eastAsia" w:ascii="仿宋_GB2312" w:hAnsi="宋体" w:eastAsia="仿宋_GB2312"/>
                <w:sz w:val="24"/>
                <w:szCs w:val="24"/>
              </w:rPr>
              <w:t>大力推动“个转企”。</w:t>
            </w:r>
            <w:r>
              <w:rPr>
                <w:rFonts w:hint="eastAsia" w:ascii="仿宋_GB2312" w:hAnsi="宋体" w:eastAsia="仿宋_GB2312"/>
                <w:b/>
                <w:sz w:val="24"/>
                <w:szCs w:val="24"/>
              </w:rPr>
              <w:t>（牵头单位：区市场监管局）</w:t>
            </w:r>
          </w:p>
        </w:tc>
        <w:tc>
          <w:tcPr>
            <w:tcW w:w="1134" w:type="dxa"/>
            <w:vAlign w:val="center"/>
          </w:tcPr>
          <w:p w14:paraId="7C20411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0694F5FF">
            <w:pPr>
              <w:spacing w:line="300" w:lineRule="exact"/>
              <w:jc w:val="center"/>
              <w:rPr>
                <w:rFonts w:ascii="仿宋_GB2312" w:hAnsi="宋体" w:eastAsia="仿宋_GB2312"/>
                <w:sz w:val="24"/>
                <w:szCs w:val="24"/>
              </w:rPr>
            </w:pPr>
            <w:r>
              <w:rPr>
                <w:rFonts w:hint="eastAsia" w:ascii="仿宋_GB2312" w:hAnsi="宋体" w:eastAsia="仿宋_GB2312"/>
                <w:sz w:val="24"/>
                <w:szCs w:val="24"/>
              </w:rPr>
              <w:t>区市场监管局</w:t>
            </w:r>
          </w:p>
          <w:p w14:paraId="3A2FCF8A">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23244639">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19ADD5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大力推动“个转企”工作，加强组织部署，制定“个转企”工作方案，按要求做好宣传发动、指导服务等工作，大力推动“个转企”，做好“个转企”培育对象梳理工作，对旅业、娱乐业、二手车、物业管理等重点转型行业市场主体进行统计摸底，为下一步建立“个转企”培育名录库、开展分类引导帮扶工作做好准备。截至3月底，累计已推动26户个体工商户成功转型升级为企业。</w:t>
            </w:r>
          </w:p>
        </w:tc>
      </w:tr>
      <w:tr w14:paraId="20E1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5" w:hRule="atLeast"/>
          <w:jc w:val="center"/>
        </w:trPr>
        <w:tc>
          <w:tcPr>
            <w:tcW w:w="543" w:type="dxa"/>
            <w:vAlign w:val="center"/>
          </w:tcPr>
          <w:p w14:paraId="0197ADA2">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7B58F5F">
            <w:pPr>
              <w:spacing w:line="300" w:lineRule="exact"/>
              <w:rPr>
                <w:rFonts w:ascii="仿宋_GB2312" w:hAnsi="宋体" w:eastAsia="仿宋_GB2312"/>
                <w:sz w:val="24"/>
                <w:szCs w:val="24"/>
              </w:rPr>
            </w:pPr>
            <w:r>
              <w:rPr>
                <w:rFonts w:hint="eastAsia" w:ascii="仿宋_GB2312" w:hAnsi="宋体" w:eastAsia="仿宋_GB2312"/>
                <w:sz w:val="24"/>
                <w:szCs w:val="24"/>
              </w:rPr>
              <w:t>完成市下达的“小升规”任务。</w:t>
            </w:r>
            <w:r>
              <w:rPr>
                <w:rFonts w:hint="eastAsia" w:ascii="仿宋_GB2312" w:hAnsi="宋体" w:eastAsia="仿宋_GB2312"/>
                <w:b/>
                <w:sz w:val="24"/>
                <w:szCs w:val="24"/>
              </w:rPr>
              <w:t>（牵头单位：区科工商务局）</w:t>
            </w:r>
          </w:p>
        </w:tc>
        <w:tc>
          <w:tcPr>
            <w:tcW w:w="1134" w:type="dxa"/>
            <w:vAlign w:val="center"/>
          </w:tcPr>
          <w:p w14:paraId="5C4874A9">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6CA21B8A">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6AEF9434">
            <w:pPr>
              <w:spacing w:line="300" w:lineRule="exact"/>
              <w:jc w:val="center"/>
              <w:rPr>
                <w:rFonts w:ascii="仿宋_GB2312" w:hAnsi="宋体" w:eastAsia="仿宋_GB2312"/>
                <w:sz w:val="24"/>
                <w:szCs w:val="24"/>
              </w:rPr>
            </w:pPr>
            <w:r>
              <w:rPr>
                <w:rFonts w:hint="eastAsia" w:ascii="仿宋_GB2312" w:hAnsi="宋体" w:eastAsia="仿宋_GB2312"/>
                <w:sz w:val="24"/>
                <w:szCs w:val="24"/>
              </w:rPr>
              <w:t>区市场监管局</w:t>
            </w:r>
          </w:p>
          <w:p w14:paraId="400D7493">
            <w:pPr>
              <w:spacing w:line="300" w:lineRule="exact"/>
              <w:jc w:val="center"/>
              <w:rPr>
                <w:rFonts w:ascii="仿宋_GB2312" w:hAnsi="宋体" w:eastAsia="仿宋_GB2312"/>
                <w:sz w:val="24"/>
                <w:szCs w:val="24"/>
              </w:rPr>
            </w:pPr>
            <w:r>
              <w:rPr>
                <w:rFonts w:hint="eastAsia" w:ascii="仿宋_GB2312" w:hAnsi="宋体" w:eastAsia="仿宋_GB2312"/>
                <w:sz w:val="24"/>
                <w:szCs w:val="24"/>
              </w:rPr>
              <w:t>区统计局</w:t>
            </w:r>
          </w:p>
          <w:p w14:paraId="3AACB403">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3579B52D">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AE6294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1.积极举办政策宣贯会，邀请业务专家对民营经济政策进行全面解读；已配合市政府举办2场大规模千人宣讲会。</w:t>
            </w:r>
          </w:p>
          <w:p w14:paraId="5D2498B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全面落实“多证合一”、“证照分离”、简易注销、全程电子化、名称自主申报等一系列商改措施，并积极承接外商投资企业登记等下放行政审批事项，进一步推进“简政放权”，优化营商环境，激发市场活力。截至3月底，已办理企业简易注销登记192宗，全程电子化业务632宗，外商投资企业登记业务3宗，共有800多家企业通过名称自主申报系统成功申报企业名称。</w:t>
            </w:r>
          </w:p>
          <w:p w14:paraId="5F66368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认真实施工业“小升规”培育计划，积极落实小微双创相关扶持政策；根据上级下达工业“小升规”目标任务要求，以主营业务收入1000-2000万或年纳税额超50万元的小微工业企业为重点培育对象，督促镇、街加大培育力度。</w:t>
            </w:r>
          </w:p>
        </w:tc>
      </w:tr>
      <w:tr w14:paraId="60C8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atLeast"/>
          <w:jc w:val="center"/>
        </w:trPr>
        <w:tc>
          <w:tcPr>
            <w:tcW w:w="543" w:type="dxa"/>
            <w:vAlign w:val="center"/>
          </w:tcPr>
          <w:p w14:paraId="554BF351">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0DDD701">
            <w:pPr>
              <w:spacing w:line="300" w:lineRule="exact"/>
              <w:rPr>
                <w:rFonts w:ascii="仿宋_GB2312" w:hAnsi="宋体" w:eastAsia="仿宋_GB2312"/>
                <w:sz w:val="24"/>
                <w:szCs w:val="24"/>
                <w:highlight w:val="yellow"/>
              </w:rPr>
            </w:pPr>
            <w:r>
              <w:rPr>
                <w:rFonts w:hint="eastAsia" w:ascii="仿宋_GB2312" w:hAnsi="宋体" w:eastAsia="仿宋_GB2312"/>
                <w:sz w:val="24"/>
                <w:szCs w:val="24"/>
              </w:rPr>
              <w:t>继续抓好第四次全国经济普查工作。</w:t>
            </w:r>
            <w:r>
              <w:rPr>
                <w:rFonts w:hint="eastAsia" w:ascii="仿宋_GB2312" w:hAnsi="宋体" w:eastAsia="仿宋_GB2312"/>
                <w:b/>
                <w:sz w:val="24"/>
                <w:szCs w:val="24"/>
              </w:rPr>
              <w:t>（牵头单位：区统计局）</w:t>
            </w:r>
          </w:p>
        </w:tc>
        <w:tc>
          <w:tcPr>
            <w:tcW w:w="1134" w:type="dxa"/>
            <w:vAlign w:val="center"/>
          </w:tcPr>
          <w:p w14:paraId="56DD3AC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6E042467">
            <w:pPr>
              <w:spacing w:line="300" w:lineRule="exact"/>
              <w:jc w:val="center"/>
              <w:rPr>
                <w:rFonts w:ascii="仿宋_GB2312" w:hAnsi="宋体" w:eastAsia="仿宋_GB2312"/>
                <w:sz w:val="24"/>
                <w:szCs w:val="24"/>
              </w:rPr>
            </w:pPr>
            <w:r>
              <w:rPr>
                <w:rFonts w:hint="eastAsia" w:ascii="仿宋_GB2312" w:hAnsi="宋体" w:eastAsia="仿宋_GB2312"/>
                <w:sz w:val="24"/>
                <w:szCs w:val="24"/>
              </w:rPr>
              <w:t>区统计局</w:t>
            </w:r>
          </w:p>
          <w:p w14:paraId="4ED7B4DB">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43A463CC">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64B38D25">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0D15060D">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F57C6D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根据省、市经普办的统一工作部署，区以数据质量为中心，精心组织，认真落实，全区第四次全国经济普查登记工作正有序有效推进。截至2019年4月1日，区已落实一套表上报工作；非一套表已登记单位户数达23017户，登记率93.22%（全市88.88%），上报国家系统率81.46%（全市69.50%）。</w:t>
            </w:r>
          </w:p>
          <w:p w14:paraId="65C33F8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区经普办已制定指引性和规范性文件，指导普查工作规范有序进行；已制定详细经普工作日程，明确每一时期的主要工作任务，强化时点管理；对全区情况进行评估分析，谋划在前，加强统筹，推行精细化管理；开展多形式、全方位、多层次的宣传动员，为普查登记营造良好的舆论氛围。</w:t>
            </w:r>
          </w:p>
          <w:p w14:paraId="41AA6A9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 xml:space="preserve">为保障普查数据质量，区经普办加强对基层两员业务培训，夯实工作基础，规范工作流程；严格落实数据质量三级责任制，实行数据质量抽查制度，积极开展督导检查工作。 </w:t>
            </w:r>
          </w:p>
        </w:tc>
      </w:tr>
      <w:tr w14:paraId="7A7C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atLeast"/>
          <w:jc w:val="center"/>
        </w:trPr>
        <w:tc>
          <w:tcPr>
            <w:tcW w:w="543" w:type="dxa"/>
            <w:vAlign w:val="center"/>
          </w:tcPr>
          <w:p w14:paraId="5A08F5E3">
            <w:pPr>
              <w:numPr>
                <w:ilvl w:val="0"/>
                <w:numId w:val="2"/>
              </w:numPr>
              <w:spacing w:line="300" w:lineRule="exact"/>
              <w:jc w:val="center"/>
              <w:rPr>
                <w:rFonts w:ascii="仿宋_GB2312" w:hAnsi="黑体" w:eastAsia="仿宋_GB2312" w:cs="仿宋_GB2312"/>
                <w:sz w:val="24"/>
                <w:szCs w:val="24"/>
              </w:rPr>
            </w:pPr>
          </w:p>
        </w:tc>
        <w:tc>
          <w:tcPr>
            <w:tcW w:w="1056" w:type="dxa"/>
            <w:vMerge w:val="restart"/>
            <w:vAlign w:val="center"/>
          </w:tcPr>
          <w:p w14:paraId="77374642">
            <w:pPr>
              <w:spacing w:line="300" w:lineRule="exact"/>
              <w:rPr>
                <w:rFonts w:ascii="仿宋_GB2312" w:hAnsi="宋体" w:eastAsia="仿宋_GB2312"/>
                <w:sz w:val="24"/>
                <w:szCs w:val="24"/>
              </w:rPr>
            </w:pPr>
            <w:r>
              <w:rPr>
                <w:rFonts w:hint="eastAsia" w:ascii="仿宋_GB2312" w:hAnsi="宋体" w:eastAsia="仿宋_GB2312"/>
                <w:sz w:val="24"/>
                <w:szCs w:val="24"/>
              </w:rPr>
              <w:t>加快“1+3”产业平台建设</w:t>
            </w:r>
          </w:p>
        </w:tc>
        <w:tc>
          <w:tcPr>
            <w:tcW w:w="2359" w:type="dxa"/>
            <w:gridSpan w:val="2"/>
            <w:vAlign w:val="center"/>
          </w:tcPr>
          <w:p w14:paraId="35386768">
            <w:pPr>
              <w:spacing w:line="300" w:lineRule="exact"/>
              <w:rPr>
                <w:rFonts w:ascii="仿宋_GB2312" w:hAnsi="宋体" w:eastAsia="仿宋_GB2312"/>
                <w:b/>
                <w:sz w:val="24"/>
                <w:szCs w:val="24"/>
              </w:rPr>
            </w:pPr>
            <w:r>
              <w:rPr>
                <w:rFonts w:hint="eastAsia" w:ascii="仿宋_GB2312" w:hAnsi="宋体" w:eastAsia="仿宋_GB2312"/>
                <w:b/>
                <w:sz w:val="24"/>
                <w:szCs w:val="24"/>
              </w:rPr>
              <w:t>1.推进江门人才岛建设。（牵头单位：人才岛建设指挥部办公室）</w:t>
            </w:r>
          </w:p>
        </w:tc>
        <w:tc>
          <w:tcPr>
            <w:tcW w:w="1134" w:type="dxa"/>
            <w:vAlign w:val="center"/>
          </w:tcPr>
          <w:p w14:paraId="1887CAA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黎国新</w:t>
            </w:r>
          </w:p>
        </w:tc>
        <w:tc>
          <w:tcPr>
            <w:tcW w:w="3119" w:type="dxa"/>
            <w:vAlign w:val="center"/>
          </w:tcPr>
          <w:p w14:paraId="28C9FF66">
            <w:pPr>
              <w:spacing w:line="300" w:lineRule="exact"/>
              <w:jc w:val="center"/>
              <w:rPr>
                <w:rFonts w:ascii="仿宋_GB2312" w:hAnsi="宋体" w:eastAsia="仿宋_GB2312"/>
                <w:sz w:val="24"/>
                <w:szCs w:val="24"/>
              </w:rPr>
            </w:pPr>
            <w:r>
              <w:rPr>
                <w:rFonts w:hint="eastAsia" w:ascii="仿宋_GB2312" w:hAnsi="宋体" w:eastAsia="仿宋_GB2312"/>
                <w:sz w:val="24"/>
                <w:szCs w:val="24"/>
              </w:rPr>
              <w:t>人才岛建设指挥部办公室</w:t>
            </w:r>
          </w:p>
          <w:p w14:paraId="7967AA38">
            <w:pPr>
              <w:spacing w:line="300" w:lineRule="exact"/>
              <w:jc w:val="center"/>
              <w:rPr>
                <w:rFonts w:ascii="仿宋_GB2312" w:hAnsi="宋体" w:eastAsia="仿宋_GB2312"/>
                <w:sz w:val="24"/>
                <w:szCs w:val="24"/>
              </w:rPr>
            </w:pPr>
            <w:r>
              <w:rPr>
                <w:rFonts w:hint="eastAsia" w:ascii="仿宋_GB2312" w:hAnsi="宋体" w:eastAsia="仿宋_GB2312"/>
                <w:sz w:val="24"/>
                <w:szCs w:val="24"/>
              </w:rPr>
              <w:t>潮连街</w:t>
            </w:r>
          </w:p>
        </w:tc>
        <w:tc>
          <w:tcPr>
            <w:tcW w:w="7187" w:type="dxa"/>
            <w:vAlign w:val="center"/>
          </w:tcPr>
          <w:p w14:paraId="31FA149B">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311A0A2">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江门人才岛全岛开发建设项目已列入广东省2019年重点项目，并列入粤港澳大湾区三年行动计划，目前江门人才岛项目开发建设全面加快推进。</w:t>
            </w:r>
          </w:p>
          <w:p w14:paraId="60945B7D">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1.已完善组织架构，并制定了一系列工作制度。</w:t>
            </w:r>
          </w:p>
          <w:p w14:paraId="0772D9A6">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2.已完成项目立项和项目招标工作。</w:t>
            </w:r>
          </w:p>
          <w:p w14:paraId="493D9D73">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3.已完成项目总体规划，江门市潮连岛PJ06-A地段和PJ06-D地段控规修改方案已经市规委会审议通过。潮连岛PJ06-B、PJ06-C、PJ06-E、PJ06-F地段的控规初步成果已出，已经完成公示，计划6月可报市规委会审议。</w:t>
            </w:r>
          </w:p>
          <w:p w14:paraId="2CF815D8">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4.确定2018年实施建设项目共三类18个，年度完成总投资25.82亿元。</w:t>
            </w:r>
          </w:p>
          <w:p w14:paraId="45D28E17">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5.确定2019年计划完成投资50亿元，建设道路、水系、环岛公园等项目共64个，一季度已动工建设项目13个，总投资约25.1亿元，已有26个项目正在方案设计中。</w:t>
            </w:r>
          </w:p>
          <w:p w14:paraId="5A64825D">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6.产业规划和导入方面，已签署3个产业规划合同，目前正在积极研究制定产业导入正面清单。</w:t>
            </w:r>
          </w:p>
          <w:p w14:paraId="741E41CA">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7.积极推动制定针对江门人才岛的“1+N”政策，其中《关于加快人才岛开发建设的实施意见》已完成第二轮征求意见，岛内人才政策、招商引资政策、产业政策、总部经济政策、土地出让政策等正在积极推动中。</w:t>
            </w:r>
          </w:p>
          <w:p w14:paraId="3EEFCB2E">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8.土地收储方面，2017年已收储土地2835亩，2018年收储土地747亩，2019年计划开展岛内农用地全征收工作。</w:t>
            </w:r>
          </w:p>
          <w:p w14:paraId="23A456F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9.资金到位情况方面，截止2019年4月13日，项目公司共收到各股东资本金1.71664亿元。同时，融资工作正在加快推进，为打通融资渠道，指挥部办公室对当前融资方式及路径进行了多次研究讨论。</w:t>
            </w:r>
          </w:p>
        </w:tc>
      </w:tr>
      <w:tr w14:paraId="2566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543" w:type="dxa"/>
            <w:vMerge w:val="restart"/>
            <w:vAlign w:val="center"/>
          </w:tcPr>
          <w:p w14:paraId="5C29B3D8">
            <w:pPr>
              <w:numPr>
                <w:ilvl w:val="0"/>
                <w:numId w:val="2"/>
              </w:numPr>
              <w:spacing w:line="300" w:lineRule="exact"/>
              <w:jc w:val="center"/>
              <w:rPr>
                <w:rFonts w:ascii="仿宋_GB2312" w:hAnsi="黑体" w:eastAsia="仿宋_GB2312" w:cs="仿宋_GB2312"/>
                <w:sz w:val="24"/>
                <w:szCs w:val="24"/>
              </w:rPr>
            </w:pPr>
          </w:p>
        </w:tc>
        <w:tc>
          <w:tcPr>
            <w:tcW w:w="1056" w:type="dxa"/>
            <w:vMerge w:val="continue"/>
            <w:vAlign w:val="center"/>
          </w:tcPr>
          <w:p w14:paraId="2F602913">
            <w:pPr>
              <w:spacing w:line="300" w:lineRule="exact"/>
              <w:rPr>
                <w:rFonts w:ascii="仿宋_GB2312" w:hAnsi="宋体" w:eastAsia="仿宋_GB2312"/>
                <w:sz w:val="24"/>
                <w:szCs w:val="24"/>
              </w:rPr>
            </w:pPr>
          </w:p>
        </w:tc>
        <w:tc>
          <w:tcPr>
            <w:tcW w:w="2359" w:type="dxa"/>
            <w:gridSpan w:val="2"/>
            <w:vMerge w:val="restart"/>
            <w:vAlign w:val="center"/>
          </w:tcPr>
          <w:p w14:paraId="12AE33AA">
            <w:pPr>
              <w:spacing w:line="300" w:lineRule="exact"/>
              <w:rPr>
                <w:rFonts w:ascii="仿宋_GB2312" w:hAnsi="宋体" w:eastAsia="仿宋_GB2312"/>
                <w:b/>
                <w:sz w:val="24"/>
                <w:szCs w:val="24"/>
              </w:rPr>
            </w:pPr>
            <w:r>
              <w:rPr>
                <w:rFonts w:hint="eastAsia" w:ascii="仿宋_GB2312" w:hAnsi="宋体" w:eastAsia="仿宋_GB2312"/>
                <w:b/>
                <w:sz w:val="24"/>
                <w:szCs w:val="24"/>
              </w:rPr>
              <w:t>2.推进滨江新区总部基地建设。（牵头单位：区科工商务局）</w:t>
            </w:r>
          </w:p>
        </w:tc>
        <w:tc>
          <w:tcPr>
            <w:tcW w:w="1134" w:type="dxa"/>
            <w:vAlign w:val="center"/>
          </w:tcPr>
          <w:p w14:paraId="25BFDA5D">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梁  朗</w:t>
            </w:r>
          </w:p>
        </w:tc>
        <w:tc>
          <w:tcPr>
            <w:tcW w:w="3119" w:type="dxa"/>
            <w:vAlign w:val="center"/>
          </w:tcPr>
          <w:p w14:paraId="540B7563">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tc>
        <w:tc>
          <w:tcPr>
            <w:tcW w:w="7187" w:type="dxa"/>
            <w:vMerge w:val="restart"/>
            <w:vAlign w:val="center"/>
          </w:tcPr>
          <w:p w14:paraId="1E77707D">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D9339F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总部基地位于滨江新区的核心区域，总规划面积为1755亩，项目首期重点发展区面积约390亩，其中A、B地块位于北部，约330亩，规划为商业服务功能，计划建设总部经济基地；C地块位于南部，约60亩，规划为综合功能（商业商住混合功能）。 一是研究调整开发建设模式。由原来的分区分片开发模式，向整体开发模式转变，对A、B地块原来分散的15个地块进行统一打包，连片规划、一体招商、一体开发、一体经营。二是做好C地块挂牌出让工作。目前区自然资源局正在编制地块的规划条件和出让条件，便于下一步的土地挂牌工作顺利进行。</w:t>
            </w:r>
          </w:p>
          <w:p w14:paraId="114F207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2.已收储位于华南路以南、体育路以东地段的新昌留用地125亩，已签订《留用地折现补偿协议》并支付首期补偿款。</w:t>
            </w:r>
          </w:p>
          <w:p w14:paraId="63811FD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3.已和国瑞地产就总部基地开发签订投资框架协议。</w:t>
            </w:r>
          </w:p>
        </w:tc>
      </w:tr>
      <w:tr w14:paraId="7816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543" w:type="dxa"/>
            <w:vMerge w:val="continue"/>
            <w:vAlign w:val="center"/>
          </w:tcPr>
          <w:p w14:paraId="1269DD36">
            <w:pPr>
              <w:numPr>
                <w:ilvl w:val="0"/>
                <w:numId w:val="2"/>
              </w:numPr>
              <w:spacing w:line="300" w:lineRule="exact"/>
              <w:jc w:val="center"/>
              <w:rPr>
                <w:rFonts w:ascii="仿宋_GB2312" w:hAnsi="黑体" w:eastAsia="仿宋_GB2312" w:cs="仿宋_GB2312"/>
                <w:sz w:val="24"/>
                <w:szCs w:val="24"/>
              </w:rPr>
            </w:pPr>
          </w:p>
        </w:tc>
        <w:tc>
          <w:tcPr>
            <w:tcW w:w="1056" w:type="dxa"/>
            <w:vMerge w:val="continue"/>
            <w:vAlign w:val="center"/>
          </w:tcPr>
          <w:p w14:paraId="7FDA0893">
            <w:pPr>
              <w:spacing w:line="300" w:lineRule="exact"/>
              <w:rPr>
                <w:rFonts w:ascii="仿宋_GB2312" w:hAnsi="宋体" w:eastAsia="仿宋_GB2312"/>
                <w:sz w:val="24"/>
                <w:szCs w:val="24"/>
              </w:rPr>
            </w:pPr>
          </w:p>
        </w:tc>
        <w:tc>
          <w:tcPr>
            <w:tcW w:w="2359" w:type="dxa"/>
            <w:gridSpan w:val="2"/>
            <w:vMerge w:val="continue"/>
            <w:vAlign w:val="center"/>
          </w:tcPr>
          <w:p w14:paraId="2C4E504B">
            <w:pPr>
              <w:spacing w:line="300" w:lineRule="exact"/>
              <w:rPr>
                <w:rFonts w:ascii="仿宋_GB2312" w:hAnsi="宋体" w:eastAsia="仿宋_GB2312"/>
                <w:b/>
                <w:sz w:val="24"/>
                <w:szCs w:val="24"/>
              </w:rPr>
            </w:pPr>
          </w:p>
        </w:tc>
        <w:tc>
          <w:tcPr>
            <w:tcW w:w="1134" w:type="dxa"/>
            <w:vAlign w:val="center"/>
          </w:tcPr>
          <w:p w14:paraId="1A7C1A0B">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36B7BCB0">
            <w:pPr>
              <w:spacing w:line="300" w:lineRule="exact"/>
              <w:jc w:val="center"/>
              <w:rPr>
                <w:rFonts w:ascii="仿宋_GB2312" w:hAnsi="宋体" w:eastAsia="仿宋_GB2312"/>
                <w:sz w:val="24"/>
                <w:szCs w:val="24"/>
              </w:rPr>
            </w:pPr>
            <w:r>
              <w:rPr>
                <w:rFonts w:hint="eastAsia" w:ascii="仿宋_GB2312" w:hAnsi="宋体" w:eastAsia="仿宋_GB2312"/>
                <w:sz w:val="24"/>
                <w:szCs w:val="24"/>
              </w:rPr>
              <w:t>区土储中心</w:t>
            </w:r>
          </w:p>
        </w:tc>
        <w:tc>
          <w:tcPr>
            <w:tcW w:w="7187" w:type="dxa"/>
            <w:vMerge w:val="continue"/>
            <w:vAlign w:val="center"/>
          </w:tcPr>
          <w:p w14:paraId="6B4ADB3B">
            <w:pPr>
              <w:spacing w:line="300" w:lineRule="exact"/>
              <w:ind w:firstLine="480" w:firstLineChars="200"/>
              <w:rPr>
                <w:rFonts w:ascii="仿宋_GB2312" w:hAnsi="黑体" w:eastAsia="仿宋_GB2312" w:cs="Times New Roman"/>
                <w:sz w:val="24"/>
                <w:szCs w:val="24"/>
              </w:rPr>
            </w:pPr>
          </w:p>
        </w:tc>
      </w:tr>
      <w:tr w14:paraId="67CE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543" w:type="dxa"/>
            <w:vMerge w:val="continue"/>
            <w:vAlign w:val="center"/>
          </w:tcPr>
          <w:p w14:paraId="493F2A02">
            <w:pPr>
              <w:numPr>
                <w:ilvl w:val="0"/>
                <w:numId w:val="2"/>
              </w:numPr>
              <w:spacing w:line="300" w:lineRule="exact"/>
              <w:jc w:val="center"/>
              <w:rPr>
                <w:rFonts w:ascii="仿宋_GB2312" w:hAnsi="黑体" w:eastAsia="仿宋_GB2312" w:cs="仿宋_GB2312"/>
                <w:sz w:val="24"/>
                <w:szCs w:val="24"/>
              </w:rPr>
            </w:pPr>
          </w:p>
        </w:tc>
        <w:tc>
          <w:tcPr>
            <w:tcW w:w="1056" w:type="dxa"/>
            <w:vMerge w:val="continue"/>
            <w:vAlign w:val="center"/>
          </w:tcPr>
          <w:p w14:paraId="6EF5B10C">
            <w:pPr>
              <w:spacing w:line="300" w:lineRule="exact"/>
              <w:rPr>
                <w:rFonts w:ascii="仿宋_GB2312" w:hAnsi="宋体" w:eastAsia="仿宋_GB2312"/>
                <w:sz w:val="24"/>
                <w:szCs w:val="24"/>
              </w:rPr>
            </w:pPr>
          </w:p>
        </w:tc>
        <w:tc>
          <w:tcPr>
            <w:tcW w:w="2359" w:type="dxa"/>
            <w:gridSpan w:val="2"/>
            <w:vMerge w:val="continue"/>
            <w:vAlign w:val="center"/>
          </w:tcPr>
          <w:p w14:paraId="4E19CA60">
            <w:pPr>
              <w:spacing w:line="300" w:lineRule="exact"/>
              <w:rPr>
                <w:rFonts w:ascii="仿宋_GB2312" w:hAnsi="宋体" w:eastAsia="仿宋_GB2312"/>
                <w:b/>
                <w:sz w:val="24"/>
                <w:szCs w:val="24"/>
              </w:rPr>
            </w:pPr>
          </w:p>
        </w:tc>
        <w:tc>
          <w:tcPr>
            <w:tcW w:w="1134" w:type="dxa"/>
            <w:vAlign w:val="center"/>
          </w:tcPr>
          <w:p w14:paraId="6BBC251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梁  朗</w:t>
            </w:r>
          </w:p>
        </w:tc>
        <w:tc>
          <w:tcPr>
            <w:tcW w:w="3119" w:type="dxa"/>
            <w:vAlign w:val="center"/>
          </w:tcPr>
          <w:p w14:paraId="7C5967A1">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31E004C1">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tc>
        <w:tc>
          <w:tcPr>
            <w:tcW w:w="7187" w:type="dxa"/>
            <w:vMerge w:val="continue"/>
            <w:vAlign w:val="center"/>
          </w:tcPr>
          <w:p w14:paraId="45355176">
            <w:pPr>
              <w:spacing w:line="300" w:lineRule="exact"/>
              <w:ind w:firstLine="480" w:firstLineChars="200"/>
              <w:rPr>
                <w:rFonts w:ascii="仿宋_GB2312" w:hAnsi="黑体" w:eastAsia="仿宋_GB2312" w:cs="Times New Roman"/>
                <w:sz w:val="24"/>
                <w:szCs w:val="24"/>
              </w:rPr>
            </w:pPr>
          </w:p>
        </w:tc>
      </w:tr>
      <w:tr w14:paraId="76C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atLeast"/>
          <w:jc w:val="center"/>
        </w:trPr>
        <w:tc>
          <w:tcPr>
            <w:tcW w:w="543" w:type="dxa"/>
            <w:vAlign w:val="center"/>
          </w:tcPr>
          <w:p w14:paraId="5B9E354C">
            <w:pPr>
              <w:numPr>
                <w:ilvl w:val="0"/>
                <w:numId w:val="2"/>
              </w:numPr>
              <w:spacing w:line="300" w:lineRule="exact"/>
              <w:jc w:val="center"/>
              <w:rPr>
                <w:rFonts w:ascii="仿宋_GB2312" w:hAnsi="黑体" w:eastAsia="仿宋_GB2312" w:cs="仿宋_GB2312"/>
                <w:sz w:val="24"/>
                <w:szCs w:val="24"/>
              </w:rPr>
            </w:pPr>
          </w:p>
        </w:tc>
        <w:tc>
          <w:tcPr>
            <w:tcW w:w="1056" w:type="dxa"/>
            <w:vAlign w:val="center"/>
          </w:tcPr>
          <w:p w14:paraId="653CF2B7">
            <w:pPr>
              <w:spacing w:line="300" w:lineRule="exact"/>
              <w:rPr>
                <w:rFonts w:ascii="仿宋_GB2312" w:hAnsi="宋体" w:eastAsia="仿宋_GB2312"/>
                <w:sz w:val="24"/>
                <w:szCs w:val="24"/>
              </w:rPr>
            </w:pPr>
            <w:r>
              <w:rPr>
                <w:rFonts w:hint="eastAsia" w:ascii="仿宋_GB2312" w:hAnsi="宋体" w:eastAsia="仿宋_GB2312"/>
                <w:sz w:val="24"/>
                <w:szCs w:val="24"/>
              </w:rPr>
              <w:t>加快“1+3”产业平台建设</w:t>
            </w:r>
          </w:p>
        </w:tc>
        <w:tc>
          <w:tcPr>
            <w:tcW w:w="2359" w:type="dxa"/>
            <w:gridSpan w:val="2"/>
            <w:vAlign w:val="center"/>
          </w:tcPr>
          <w:p w14:paraId="5FFDA1E2">
            <w:pPr>
              <w:spacing w:line="300" w:lineRule="exact"/>
              <w:rPr>
                <w:rFonts w:ascii="仿宋_GB2312" w:hAnsi="宋体" w:eastAsia="仿宋_GB2312"/>
                <w:b/>
                <w:sz w:val="24"/>
                <w:szCs w:val="24"/>
              </w:rPr>
            </w:pPr>
            <w:r>
              <w:rPr>
                <w:rFonts w:hint="eastAsia" w:ascii="仿宋_GB2312" w:hAnsi="宋体" w:eastAsia="仿宋_GB2312"/>
                <w:b/>
                <w:sz w:val="24"/>
                <w:szCs w:val="24"/>
              </w:rPr>
              <w:t>3.加快江门蓬江产业转移工业园产城融合。（牵头单位：滨江新区管委会）</w:t>
            </w:r>
          </w:p>
        </w:tc>
        <w:tc>
          <w:tcPr>
            <w:tcW w:w="1134" w:type="dxa"/>
            <w:vAlign w:val="center"/>
          </w:tcPr>
          <w:p w14:paraId="72780136">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刘少龙</w:t>
            </w:r>
          </w:p>
        </w:tc>
        <w:tc>
          <w:tcPr>
            <w:tcW w:w="3119" w:type="dxa"/>
            <w:vAlign w:val="center"/>
          </w:tcPr>
          <w:p w14:paraId="5DD5609D">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tc>
        <w:tc>
          <w:tcPr>
            <w:tcW w:w="7187" w:type="dxa"/>
            <w:vAlign w:val="center"/>
          </w:tcPr>
          <w:p w14:paraId="27B3C012">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C17BA8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1.启动产业发展规划和国土空间规划编制工作,已开展园区产业发展规划工作，目前正在进行报批采购立项；</w:t>
            </w:r>
          </w:p>
          <w:p w14:paraId="5632D32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2.园区道路建设和升级改造正按计划推进，目前道路在建工程8项，计划总投资约7.6亿元。</w:t>
            </w:r>
          </w:p>
          <w:p w14:paraId="750B3A0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3.启动华盛路西延线建设筹备工作，促进园区与滨江新区交通路网建设，全力推动产城融合。</w:t>
            </w:r>
          </w:p>
          <w:p w14:paraId="2290E4A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4.积极开展园区公共配套工程建设。协调供电水部门，加快南园区水电配套工程建设，保障项目动工建设进度。园区正开展公共配套工程、三堡村村民住宅安置区配套工程、园区党员服务大厅项目建设工程。</w:t>
            </w:r>
          </w:p>
          <w:p w14:paraId="15A9EF8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激光产业园26、27号地块项目由江门市滨江新城产业园投资有限公司负责建设，其中首期建设5.5万平方米标准工业厂房，共4幢楼，每幢4层，每层面积平均约3437.5平方米。截至3月底，激光产业园1#~4#厂房除消防水池部分外，已全部完成首层地面以下工程，二层高支模架体搭设中。</w:t>
            </w:r>
          </w:p>
          <w:p w14:paraId="4920EB8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6.省已下发批文，确认将金镜山、骑龙山工业园纳入园区范围纳入园区管理。</w:t>
            </w:r>
          </w:p>
          <w:p w14:paraId="0E1D0C9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7.截至3月底，新开建设项目共3个（松铃机车、诺贝电机、一汇食品），计划总投资8亿元。在谈项目共5个（联东U谷、禾康包装等项目）。</w:t>
            </w:r>
          </w:p>
        </w:tc>
      </w:tr>
      <w:tr w14:paraId="0EF8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43" w:type="dxa"/>
            <w:vMerge w:val="restart"/>
            <w:vAlign w:val="center"/>
          </w:tcPr>
          <w:p w14:paraId="6FEF2FB3">
            <w:pPr>
              <w:numPr>
                <w:ilvl w:val="0"/>
                <w:numId w:val="2"/>
              </w:numPr>
              <w:spacing w:line="300" w:lineRule="exact"/>
              <w:jc w:val="center"/>
              <w:rPr>
                <w:rFonts w:ascii="仿宋_GB2312" w:hAnsi="黑体" w:eastAsia="仿宋_GB2312" w:cs="仿宋_GB2312"/>
                <w:sz w:val="24"/>
                <w:szCs w:val="24"/>
              </w:rPr>
            </w:pPr>
          </w:p>
        </w:tc>
        <w:tc>
          <w:tcPr>
            <w:tcW w:w="1056" w:type="dxa"/>
            <w:vMerge w:val="restart"/>
            <w:vAlign w:val="center"/>
          </w:tcPr>
          <w:p w14:paraId="3270D03E">
            <w:pPr>
              <w:spacing w:line="300" w:lineRule="exact"/>
              <w:rPr>
                <w:rFonts w:ascii="仿宋_GB2312" w:hAnsi="宋体" w:eastAsia="仿宋_GB2312"/>
                <w:sz w:val="24"/>
                <w:szCs w:val="24"/>
              </w:rPr>
            </w:pPr>
            <w:r>
              <w:rPr>
                <w:rFonts w:hint="eastAsia" w:ascii="仿宋_GB2312" w:hAnsi="宋体" w:eastAsia="仿宋_GB2312"/>
                <w:sz w:val="24"/>
                <w:szCs w:val="24"/>
              </w:rPr>
              <w:t>加快“1+3”产业平台建设</w:t>
            </w:r>
          </w:p>
        </w:tc>
        <w:tc>
          <w:tcPr>
            <w:tcW w:w="2359" w:type="dxa"/>
            <w:gridSpan w:val="2"/>
            <w:vMerge w:val="restart"/>
            <w:vAlign w:val="center"/>
          </w:tcPr>
          <w:p w14:paraId="23B2820E">
            <w:pPr>
              <w:spacing w:line="300" w:lineRule="exact"/>
              <w:rPr>
                <w:rFonts w:ascii="仿宋_GB2312" w:hAnsi="宋体" w:eastAsia="仿宋_GB2312"/>
                <w:sz w:val="24"/>
                <w:szCs w:val="24"/>
              </w:rPr>
            </w:pPr>
            <w:r>
              <w:rPr>
                <w:rFonts w:hint="eastAsia" w:ascii="仿宋_GB2312" w:hAnsi="宋体" w:eastAsia="仿宋_GB2312"/>
                <w:b/>
                <w:sz w:val="24"/>
                <w:szCs w:val="24"/>
              </w:rPr>
              <w:t>4.推进会展文体中心建设及文体旅游产业发展。（牵头单位：区文化广电旅游体育局）</w:t>
            </w:r>
          </w:p>
        </w:tc>
        <w:tc>
          <w:tcPr>
            <w:tcW w:w="1134" w:type="dxa"/>
            <w:vAlign w:val="center"/>
          </w:tcPr>
          <w:p w14:paraId="46E3EE05">
            <w:pPr>
              <w:spacing w:line="300" w:lineRule="exact"/>
              <w:jc w:val="center"/>
              <w:rPr>
                <w:rFonts w:ascii="仿宋_GB2312" w:hAnsi="宋体" w:eastAsia="仿宋_GB2312" w:cs="Times New Roman"/>
                <w:sz w:val="24"/>
                <w:szCs w:val="24"/>
              </w:rPr>
            </w:pPr>
            <w:r>
              <w:rPr>
                <w:rFonts w:hint="eastAsia" w:ascii="仿宋_GB2312" w:hAnsi="宋体" w:eastAsia="仿宋_GB2312"/>
                <w:sz w:val="24"/>
                <w:szCs w:val="24"/>
              </w:rPr>
              <w:t>张文新</w:t>
            </w:r>
          </w:p>
        </w:tc>
        <w:tc>
          <w:tcPr>
            <w:tcW w:w="3119" w:type="dxa"/>
            <w:vAlign w:val="center"/>
          </w:tcPr>
          <w:p w14:paraId="63D57ECD">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277E6559">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区文化广电旅游体育局</w:t>
            </w:r>
          </w:p>
          <w:p w14:paraId="7A9107E6">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tc>
        <w:tc>
          <w:tcPr>
            <w:tcW w:w="7187" w:type="dxa"/>
            <w:vMerge w:val="restart"/>
            <w:vAlign w:val="center"/>
          </w:tcPr>
          <w:p w14:paraId="13B6C8BD">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8CA293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1.进一步发挥会展中心的作用，推动展会活动常态化。截至3月底，蓬江区举办春季车展、童博会等展会活动共计5场。</w:t>
            </w:r>
          </w:p>
          <w:p w14:paraId="7E74AAE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2.中国侨镇项目基本已落实第一期用地，面积为80亩。正密切跟进成立2019年世界排球联赛（广东</w:t>
            </w:r>
            <w:r>
              <w:rPr>
                <w:rFonts w:hint="eastAsia" w:ascii="宋体" w:hAnsi="宋体" w:cs="宋体"/>
                <w:sz w:val="24"/>
                <w:szCs w:val="24"/>
              </w:rPr>
              <w:t>•</w:t>
            </w:r>
            <w:r>
              <w:rPr>
                <w:rFonts w:hint="eastAsia" w:ascii="仿宋_GB2312" w:hAnsi="仿宋_GB2312" w:eastAsia="仿宋_GB2312" w:cs="仿宋_GB2312"/>
                <w:sz w:val="24"/>
                <w:szCs w:val="24"/>
              </w:rPr>
              <w:t>江门）赛区组委会工作</w:t>
            </w:r>
            <w:r>
              <w:rPr>
                <w:rFonts w:hint="eastAsia" w:ascii="仿宋_GB2312" w:hAnsi="黑体" w:eastAsia="仿宋_GB2312" w:cs="Times New Roman"/>
                <w:sz w:val="24"/>
                <w:szCs w:val="24"/>
              </w:rPr>
              <w:t>。</w:t>
            </w:r>
          </w:p>
          <w:p w14:paraId="4463741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3.已对蓬江区文化中心规划方案进行专家论证，待设计单位按照专家论证意见修改后报规委会审议;开展场地平整工程。</w:t>
            </w:r>
          </w:p>
        </w:tc>
      </w:tr>
      <w:tr w14:paraId="19DE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43" w:type="dxa"/>
            <w:vMerge w:val="continue"/>
            <w:tcBorders>
              <w:bottom w:val="single" w:color="auto" w:sz="4" w:space="0"/>
            </w:tcBorders>
            <w:vAlign w:val="center"/>
          </w:tcPr>
          <w:p w14:paraId="72252143">
            <w:pPr>
              <w:numPr>
                <w:ilvl w:val="0"/>
                <w:numId w:val="2"/>
              </w:numPr>
              <w:spacing w:line="300" w:lineRule="exact"/>
              <w:jc w:val="center"/>
              <w:rPr>
                <w:rFonts w:ascii="仿宋_GB2312" w:hAnsi="黑体" w:eastAsia="仿宋_GB2312" w:cs="仿宋_GB2312"/>
                <w:sz w:val="24"/>
                <w:szCs w:val="24"/>
              </w:rPr>
            </w:pPr>
          </w:p>
        </w:tc>
        <w:tc>
          <w:tcPr>
            <w:tcW w:w="1056" w:type="dxa"/>
            <w:vMerge w:val="continue"/>
            <w:vAlign w:val="center"/>
          </w:tcPr>
          <w:p w14:paraId="063AF90E">
            <w:pPr>
              <w:spacing w:line="300" w:lineRule="exact"/>
              <w:rPr>
                <w:rFonts w:ascii="仿宋_GB2312" w:hAnsi="宋体" w:eastAsia="仿宋_GB2312"/>
                <w:sz w:val="24"/>
                <w:szCs w:val="24"/>
              </w:rPr>
            </w:pPr>
          </w:p>
        </w:tc>
        <w:tc>
          <w:tcPr>
            <w:tcW w:w="2359" w:type="dxa"/>
            <w:gridSpan w:val="2"/>
            <w:vMerge w:val="continue"/>
            <w:tcBorders>
              <w:bottom w:val="single" w:color="auto" w:sz="4" w:space="0"/>
            </w:tcBorders>
            <w:vAlign w:val="center"/>
          </w:tcPr>
          <w:p w14:paraId="6F31D149">
            <w:pPr>
              <w:spacing w:line="300" w:lineRule="exact"/>
              <w:rPr>
                <w:rFonts w:ascii="仿宋_GB2312" w:hAnsi="宋体" w:eastAsia="仿宋_GB2312"/>
                <w:b/>
                <w:sz w:val="24"/>
                <w:szCs w:val="24"/>
              </w:rPr>
            </w:pPr>
          </w:p>
        </w:tc>
        <w:tc>
          <w:tcPr>
            <w:tcW w:w="1134" w:type="dxa"/>
            <w:tcBorders>
              <w:bottom w:val="single" w:color="auto" w:sz="4" w:space="0"/>
            </w:tcBorders>
            <w:vAlign w:val="center"/>
          </w:tcPr>
          <w:p w14:paraId="0EDA1A26">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  莲</w:t>
            </w:r>
          </w:p>
        </w:tc>
        <w:tc>
          <w:tcPr>
            <w:tcW w:w="3119" w:type="dxa"/>
            <w:tcBorders>
              <w:bottom w:val="single" w:color="auto" w:sz="4" w:space="0"/>
            </w:tcBorders>
            <w:vAlign w:val="center"/>
          </w:tcPr>
          <w:p w14:paraId="59B42F25">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区文化广电旅游体育局</w:t>
            </w:r>
          </w:p>
        </w:tc>
        <w:tc>
          <w:tcPr>
            <w:tcW w:w="7187" w:type="dxa"/>
            <w:vMerge w:val="continue"/>
            <w:tcBorders>
              <w:bottom w:val="single" w:color="auto" w:sz="4" w:space="0"/>
            </w:tcBorders>
            <w:vAlign w:val="center"/>
          </w:tcPr>
          <w:p w14:paraId="7610BDC3">
            <w:pPr>
              <w:spacing w:line="300" w:lineRule="exact"/>
              <w:ind w:firstLine="480" w:firstLineChars="200"/>
              <w:rPr>
                <w:rFonts w:ascii="仿宋_GB2312" w:hAnsi="黑体" w:eastAsia="仿宋_GB2312" w:cs="Times New Roman"/>
                <w:sz w:val="24"/>
                <w:szCs w:val="24"/>
              </w:rPr>
            </w:pPr>
          </w:p>
        </w:tc>
      </w:tr>
      <w:tr w14:paraId="66EB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43" w:type="dxa"/>
            <w:vMerge w:val="continue"/>
            <w:vAlign w:val="center"/>
          </w:tcPr>
          <w:p w14:paraId="3A428689">
            <w:pPr>
              <w:numPr>
                <w:ilvl w:val="0"/>
                <w:numId w:val="2"/>
              </w:numPr>
              <w:spacing w:line="300" w:lineRule="exact"/>
              <w:jc w:val="center"/>
              <w:rPr>
                <w:rFonts w:ascii="仿宋_GB2312" w:hAnsi="黑体" w:eastAsia="仿宋_GB2312" w:cs="仿宋_GB2312"/>
                <w:sz w:val="24"/>
                <w:szCs w:val="24"/>
              </w:rPr>
            </w:pPr>
          </w:p>
        </w:tc>
        <w:tc>
          <w:tcPr>
            <w:tcW w:w="1056" w:type="dxa"/>
            <w:vMerge w:val="continue"/>
            <w:vAlign w:val="center"/>
          </w:tcPr>
          <w:p w14:paraId="794A0EA0">
            <w:pPr>
              <w:spacing w:line="300" w:lineRule="exact"/>
              <w:rPr>
                <w:rFonts w:ascii="仿宋_GB2312" w:hAnsi="宋体" w:eastAsia="仿宋_GB2312"/>
                <w:sz w:val="24"/>
                <w:szCs w:val="24"/>
              </w:rPr>
            </w:pPr>
          </w:p>
        </w:tc>
        <w:tc>
          <w:tcPr>
            <w:tcW w:w="2359" w:type="dxa"/>
            <w:gridSpan w:val="2"/>
            <w:vMerge w:val="continue"/>
            <w:vAlign w:val="center"/>
          </w:tcPr>
          <w:p w14:paraId="7E676FED">
            <w:pPr>
              <w:spacing w:line="300" w:lineRule="exact"/>
              <w:rPr>
                <w:rFonts w:ascii="仿宋_GB2312" w:hAnsi="宋体" w:eastAsia="仿宋_GB2312"/>
                <w:b/>
                <w:sz w:val="24"/>
                <w:szCs w:val="24"/>
              </w:rPr>
            </w:pPr>
          </w:p>
        </w:tc>
        <w:tc>
          <w:tcPr>
            <w:tcW w:w="1134" w:type="dxa"/>
            <w:vAlign w:val="center"/>
          </w:tcPr>
          <w:p w14:paraId="7BC3C023">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Align w:val="center"/>
          </w:tcPr>
          <w:p w14:paraId="17938DA2">
            <w:pPr>
              <w:spacing w:line="300" w:lineRule="exact"/>
              <w:jc w:val="center"/>
              <w:rPr>
                <w:rFonts w:ascii="仿宋_GB2312" w:hAnsi="宋体" w:eastAsia="仿宋_GB2312"/>
                <w:sz w:val="24"/>
                <w:szCs w:val="24"/>
              </w:rPr>
            </w:pPr>
            <w:r>
              <w:rPr>
                <w:rFonts w:hint="eastAsia" w:ascii="仿宋_GB2312" w:hAnsi="宋体" w:eastAsia="仿宋_GB2312"/>
                <w:sz w:val="24"/>
                <w:szCs w:val="24"/>
              </w:rPr>
              <w:t>区建管中心</w:t>
            </w:r>
          </w:p>
        </w:tc>
        <w:tc>
          <w:tcPr>
            <w:tcW w:w="7187" w:type="dxa"/>
            <w:vMerge w:val="continue"/>
            <w:vAlign w:val="center"/>
          </w:tcPr>
          <w:p w14:paraId="49F850BC">
            <w:pPr>
              <w:spacing w:line="300" w:lineRule="exact"/>
              <w:ind w:firstLine="480" w:firstLineChars="200"/>
              <w:rPr>
                <w:rFonts w:ascii="仿宋_GB2312" w:hAnsi="黑体" w:eastAsia="仿宋_GB2312" w:cs="Times New Roman"/>
                <w:sz w:val="24"/>
                <w:szCs w:val="24"/>
              </w:rPr>
            </w:pPr>
          </w:p>
        </w:tc>
      </w:tr>
      <w:tr w14:paraId="2A87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43" w:type="dxa"/>
            <w:vAlign w:val="center"/>
          </w:tcPr>
          <w:p w14:paraId="3BAB090C">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1CE3845">
            <w:pPr>
              <w:spacing w:line="300" w:lineRule="exact"/>
              <w:rPr>
                <w:rFonts w:ascii="仿宋_GB2312" w:hAnsi="宋体" w:eastAsia="仿宋_GB2312"/>
                <w:sz w:val="24"/>
                <w:szCs w:val="24"/>
                <w:highlight w:val="yellow"/>
              </w:rPr>
            </w:pPr>
            <w:r>
              <w:rPr>
                <w:rFonts w:hint="eastAsia" w:ascii="仿宋_GB2312" w:hAnsi="宋体" w:eastAsia="仿宋_GB2312"/>
                <w:sz w:val="24"/>
                <w:szCs w:val="24"/>
              </w:rPr>
              <w:t>做好载体建设计划，年内建成工业载体超50万平方米。</w:t>
            </w:r>
            <w:r>
              <w:rPr>
                <w:rFonts w:hint="eastAsia" w:ascii="仿宋_GB2312" w:hAnsi="宋体" w:eastAsia="仿宋_GB2312"/>
                <w:b/>
                <w:sz w:val="24"/>
                <w:szCs w:val="24"/>
              </w:rPr>
              <w:t>（牵头单位：区住房城乡建设局）</w:t>
            </w:r>
          </w:p>
        </w:tc>
        <w:tc>
          <w:tcPr>
            <w:tcW w:w="1134" w:type="dxa"/>
            <w:vAlign w:val="center"/>
          </w:tcPr>
          <w:p w14:paraId="2398852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Align w:val="center"/>
          </w:tcPr>
          <w:p w14:paraId="087CAF70">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3AB3CE0A">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5C8B932D">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5CB80B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截至3月底，全区建成工业载体5.7万平方米。</w:t>
            </w:r>
          </w:p>
        </w:tc>
      </w:tr>
      <w:tr w14:paraId="31DE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jc w:val="center"/>
        </w:trPr>
        <w:tc>
          <w:tcPr>
            <w:tcW w:w="543" w:type="dxa"/>
            <w:vAlign w:val="center"/>
          </w:tcPr>
          <w:p w14:paraId="0165741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C3085BC">
            <w:pPr>
              <w:spacing w:line="300" w:lineRule="exact"/>
              <w:rPr>
                <w:rFonts w:ascii="仿宋_GB2312" w:hAnsi="宋体" w:eastAsia="仿宋_GB2312"/>
                <w:sz w:val="24"/>
                <w:szCs w:val="24"/>
              </w:rPr>
            </w:pPr>
            <w:r>
              <w:rPr>
                <w:rFonts w:hint="eastAsia" w:ascii="仿宋_GB2312" w:hAnsi="宋体" w:eastAsia="仿宋_GB2312"/>
                <w:sz w:val="24"/>
                <w:szCs w:val="24"/>
              </w:rPr>
              <w:t>全力做好土地收储，力争在2020年底前新增收储土地6930亩。</w:t>
            </w:r>
            <w:r>
              <w:rPr>
                <w:rFonts w:hint="eastAsia" w:ascii="仿宋_GB2312" w:hAnsi="宋体" w:eastAsia="仿宋_GB2312"/>
                <w:b/>
                <w:sz w:val="24"/>
                <w:szCs w:val="24"/>
              </w:rPr>
              <w:t>（牵头单位：区土储中心）</w:t>
            </w:r>
          </w:p>
        </w:tc>
        <w:tc>
          <w:tcPr>
            <w:tcW w:w="1134" w:type="dxa"/>
            <w:vAlign w:val="center"/>
          </w:tcPr>
          <w:p w14:paraId="1FCB532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3592805C">
            <w:pPr>
              <w:spacing w:line="300" w:lineRule="exact"/>
              <w:jc w:val="center"/>
              <w:rPr>
                <w:rFonts w:ascii="仿宋_GB2312" w:hAnsi="宋体" w:eastAsia="仿宋_GB2312"/>
                <w:sz w:val="24"/>
                <w:szCs w:val="24"/>
              </w:rPr>
            </w:pPr>
            <w:r>
              <w:rPr>
                <w:rFonts w:hint="eastAsia" w:ascii="仿宋_GB2312" w:hAnsi="宋体" w:eastAsia="仿宋_GB2312"/>
                <w:sz w:val="24"/>
                <w:szCs w:val="24"/>
              </w:rPr>
              <w:t>区土储中心</w:t>
            </w:r>
          </w:p>
          <w:p w14:paraId="5701DDD3">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5F75355F">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54E61E3A">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A21590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江沙示范园区扩园项目所在的三堡村下属3个小组已通过表决，同意由政府征收该1800亩土地；现已签订《征收土地补偿协议》并约定分三期支付补偿款，现已支付首期补偿款；青苗、地上附着物及建（构）筑物的清单工作已陆续开展。</w:t>
            </w:r>
          </w:p>
          <w:p w14:paraId="60C07FA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新昌留用地项目125亩，已签订《留用地折现补偿协议》并支付首期补偿款；环市轮毂厂项目180亩，已签订《收回国有土地使用权补偿协议》并已支付补偿款；杜阮华基项目67亩，已签订《收回土地使用权补偿协议》并支付补偿款。该3个项目均纳入2019年土地专项债券项目。</w:t>
            </w:r>
          </w:p>
          <w:p w14:paraId="50966EF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力争启动如下新收储项目：拟全面征收人才岛农用地及未利用地1474亩；拟征收滨江新区天沙河以西农用地620亩；拟协议政府回购滨江新区留用地990亩；拟征收井根两个工业园区周边农用地共1597亩；拟征收滨江新区TOD项目余下农用地；拟征收荷塘禾岗农用地540亩。</w:t>
            </w:r>
          </w:p>
        </w:tc>
      </w:tr>
      <w:tr w14:paraId="2E10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543" w:type="dxa"/>
            <w:vAlign w:val="center"/>
          </w:tcPr>
          <w:p w14:paraId="56C05431">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51AC447F">
            <w:pPr>
              <w:spacing w:line="300" w:lineRule="exact"/>
              <w:rPr>
                <w:rFonts w:ascii="仿宋_GB2312" w:hAnsi="宋体" w:eastAsia="仿宋_GB2312"/>
                <w:sz w:val="24"/>
                <w:szCs w:val="24"/>
              </w:rPr>
            </w:pPr>
            <w:r>
              <w:rPr>
                <w:rFonts w:hint="eastAsia" w:ascii="仿宋_GB2312" w:hAnsi="宋体" w:eastAsia="仿宋_GB2312"/>
                <w:sz w:val="24"/>
                <w:szCs w:val="24"/>
              </w:rPr>
              <w:t>加快解决批而未供土地问题，计划供地2861亩。</w:t>
            </w:r>
            <w:r>
              <w:rPr>
                <w:rFonts w:hint="eastAsia" w:ascii="仿宋_GB2312" w:hAnsi="宋体" w:eastAsia="仿宋_GB2312"/>
                <w:b/>
                <w:sz w:val="24"/>
                <w:szCs w:val="24"/>
              </w:rPr>
              <w:t>（牵头单位：区自然资源局）</w:t>
            </w:r>
          </w:p>
        </w:tc>
        <w:tc>
          <w:tcPr>
            <w:tcW w:w="1134" w:type="dxa"/>
            <w:vAlign w:val="center"/>
          </w:tcPr>
          <w:p w14:paraId="2575D59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3EA6215D">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7C433083">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72EE9303">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2453EE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截至4月4日，已供地5宗共228256.67方（342.385005亩），其中工业2宗26532.03方（39.798045亩）、教育用地1宗136735.82方（205.10373亩）、商服2宗64988.82方（97.48323亩）</w:t>
            </w:r>
          </w:p>
        </w:tc>
      </w:tr>
      <w:tr w14:paraId="5E1C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543" w:type="dxa"/>
            <w:vAlign w:val="center"/>
          </w:tcPr>
          <w:p w14:paraId="0F42DC5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85D21DB">
            <w:pPr>
              <w:spacing w:line="300" w:lineRule="exact"/>
              <w:rPr>
                <w:rFonts w:ascii="仿宋_GB2312" w:hAnsi="宋体" w:eastAsia="仿宋_GB2312"/>
                <w:sz w:val="24"/>
                <w:szCs w:val="24"/>
              </w:rPr>
            </w:pPr>
            <w:r>
              <w:rPr>
                <w:rFonts w:hint="eastAsia" w:ascii="仿宋_GB2312" w:hAnsi="宋体" w:eastAsia="仿宋_GB2312"/>
                <w:sz w:val="24"/>
                <w:szCs w:val="24"/>
              </w:rPr>
              <w:t>整合提升、改造镇村级工业园，大力开展以“工改工”为主体的三旧改造。</w:t>
            </w:r>
            <w:r>
              <w:rPr>
                <w:rFonts w:hint="eastAsia" w:ascii="仿宋_GB2312" w:hAnsi="宋体" w:eastAsia="仿宋_GB2312"/>
                <w:b/>
                <w:sz w:val="24"/>
                <w:szCs w:val="24"/>
              </w:rPr>
              <w:t>（牵头单位：区自然资源局）</w:t>
            </w:r>
          </w:p>
        </w:tc>
        <w:tc>
          <w:tcPr>
            <w:tcW w:w="1134" w:type="dxa"/>
            <w:vAlign w:val="center"/>
          </w:tcPr>
          <w:p w14:paraId="37E012E3">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71AEBBFB">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7AA58B74">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0CD615AA">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3E7B54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1.已制定蓬江区“三旧”改造三年滚动计划表（内含工改工）并已报市三旧办；</w:t>
            </w:r>
          </w:p>
          <w:p w14:paraId="6A63DC0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正在动工项目进度：火炬高新技术创业园主体工程建设中；白土工业区创业园（科技孵化器）正在开展装修深化方案设计；柏力科技园一期正施工外饰面工程和配套安装工程；棠下镇新昌科技园2#、3#、4#、5#科研楼已封顶。</w:t>
            </w:r>
          </w:p>
        </w:tc>
      </w:tr>
      <w:tr w14:paraId="5C20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543" w:type="dxa"/>
            <w:vAlign w:val="center"/>
          </w:tcPr>
          <w:p w14:paraId="1FC316D9">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601B1B17">
            <w:pPr>
              <w:spacing w:line="300" w:lineRule="exact"/>
              <w:rPr>
                <w:rFonts w:ascii="仿宋_GB2312" w:hAnsi="宋体" w:eastAsia="仿宋_GB2312"/>
                <w:sz w:val="24"/>
                <w:szCs w:val="24"/>
              </w:rPr>
            </w:pPr>
            <w:r>
              <w:rPr>
                <w:rFonts w:hint="eastAsia" w:ascii="仿宋_GB2312" w:hAnsi="宋体" w:eastAsia="仿宋_GB2312"/>
                <w:sz w:val="24"/>
                <w:szCs w:val="24"/>
              </w:rPr>
              <w:t>有序加快化工、玻璃、制革、造纸、陶瓷行业退出。</w:t>
            </w:r>
            <w:r>
              <w:rPr>
                <w:rFonts w:hint="eastAsia" w:ascii="仿宋_GB2312" w:hAnsi="宋体" w:eastAsia="仿宋_GB2312"/>
                <w:b/>
                <w:sz w:val="24"/>
                <w:szCs w:val="24"/>
              </w:rPr>
              <w:t>（牵头单位：区科工商务局）</w:t>
            </w:r>
          </w:p>
        </w:tc>
        <w:tc>
          <w:tcPr>
            <w:tcW w:w="1134" w:type="dxa"/>
            <w:vAlign w:val="center"/>
          </w:tcPr>
          <w:p w14:paraId="558D550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494BBF3A">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1BE903F0">
            <w:pPr>
              <w:spacing w:line="300" w:lineRule="exact"/>
              <w:jc w:val="center"/>
              <w:rPr>
                <w:rFonts w:ascii="仿宋_GB2312" w:hAnsi="宋体" w:eastAsia="仿宋_GB2312"/>
                <w:sz w:val="24"/>
                <w:szCs w:val="24"/>
              </w:rPr>
            </w:pPr>
            <w:r>
              <w:rPr>
                <w:rFonts w:hint="eastAsia" w:ascii="仿宋_GB2312" w:hAnsi="宋体" w:eastAsia="仿宋_GB2312"/>
                <w:sz w:val="24"/>
                <w:szCs w:val="24"/>
              </w:rPr>
              <w:t>区应急管理局</w:t>
            </w:r>
          </w:p>
          <w:p w14:paraId="01670EC8">
            <w:pPr>
              <w:spacing w:line="300" w:lineRule="exact"/>
              <w:jc w:val="center"/>
              <w:rPr>
                <w:rFonts w:ascii="仿宋_GB2312" w:hAnsi="宋体" w:eastAsia="仿宋_GB2312"/>
                <w:sz w:val="24"/>
                <w:szCs w:val="24"/>
              </w:rPr>
            </w:pPr>
            <w:r>
              <w:rPr>
                <w:rFonts w:hint="eastAsia" w:ascii="仿宋_GB2312" w:hAnsi="宋体" w:eastAsia="仿宋_GB2312"/>
                <w:sz w:val="24"/>
                <w:szCs w:val="24"/>
              </w:rPr>
              <w:t>区市场监督管理局</w:t>
            </w:r>
          </w:p>
          <w:p w14:paraId="73B6B17B">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p w14:paraId="7FB8073C">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490FB1A5">
            <w:pPr>
              <w:spacing w:line="300" w:lineRule="exact"/>
              <w:jc w:val="center"/>
              <w:rPr>
                <w:rFonts w:ascii="仿宋_GB2312" w:hAnsi="宋体" w:eastAsia="仿宋_GB2312"/>
                <w:sz w:val="24"/>
                <w:szCs w:val="24"/>
              </w:rPr>
            </w:pPr>
            <w:r>
              <w:rPr>
                <w:rFonts w:hint="eastAsia" w:ascii="仿宋_GB2312" w:hAnsi="宋体" w:eastAsia="仿宋_GB2312"/>
                <w:sz w:val="24"/>
                <w:szCs w:val="24"/>
              </w:rPr>
              <w:t>蓬江消防大队</w:t>
            </w:r>
          </w:p>
        </w:tc>
        <w:tc>
          <w:tcPr>
            <w:tcW w:w="7187" w:type="dxa"/>
            <w:vAlign w:val="center"/>
          </w:tcPr>
          <w:p w14:paraId="5A933679">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4BC1C6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截至3月底，已关停化工、玻璃、制革、造纸、陶瓷行业企业77家。</w:t>
            </w:r>
          </w:p>
        </w:tc>
      </w:tr>
      <w:tr w14:paraId="7D27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543" w:type="dxa"/>
            <w:vAlign w:val="center"/>
          </w:tcPr>
          <w:p w14:paraId="3492A5D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589EF7C1">
            <w:pPr>
              <w:spacing w:line="300" w:lineRule="exact"/>
              <w:rPr>
                <w:rFonts w:ascii="仿宋_GB2312" w:hAnsi="宋体" w:eastAsia="仿宋_GB2312"/>
                <w:sz w:val="24"/>
                <w:szCs w:val="24"/>
              </w:rPr>
            </w:pPr>
            <w:r>
              <w:rPr>
                <w:rFonts w:hint="eastAsia" w:ascii="仿宋_GB2312" w:hAnsi="宋体" w:eastAsia="仿宋_GB2312"/>
                <w:sz w:val="24"/>
                <w:szCs w:val="24"/>
              </w:rPr>
              <w:t>整合化工、玻璃、制革、造纸、陶瓷行业退出后的土地载体资源。</w:t>
            </w:r>
            <w:r>
              <w:rPr>
                <w:rFonts w:hint="eastAsia" w:ascii="仿宋_GB2312" w:hAnsi="宋体" w:eastAsia="仿宋_GB2312"/>
                <w:b/>
                <w:sz w:val="24"/>
                <w:szCs w:val="24"/>
              </w:rPr>
              <w:t>（牵头单位：区自然资源局）</w:t>
            </w:r>
          </w:p>
        </w:tc>
        <w:tc>
          <w:tcPr>
            <w:tcW w:w="1134" w:type="dxa"/>
            <w:vAlign w:val="center"/>
          </w:tcPr>
          <w:p w14:paraId="3E95CE0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6C233608">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4578C759">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7C27DE02">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4EB941D2">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D5EE71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区科工商务局正整理退出企业清单，待清单确定后，区自然资源局将跟进整合退出企业的土地载体资源。</w:t>
            </w:r>
          </w:p>
        </w:tc>
      </w:tr>
      <w:tr w14:paraId="2E6E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543" w:type="dxa"/>
            <w:vAlign w:val="center"/>
          </w:tcPr>
          <w:p w14:paraId="4BD61826">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08E05F9">
            <w:pPr>
              <w:spacing w:line="300" w:lineRule="exact"/>
              <w:rPr>
                <w:rFonts w:ascii="仿宋_GB2312" w:hAnsi="宋体" w:eastAsia="仿宋_GB2312"/>
                <w:sz w:val="24"/>
                <w:szCs w:val="24"/>
              </w:rPr>
            </w:pPr>
            <w:r>
              <w:rPr>
                <w:rFonts w:hint="eastAsia" w:ascii="仿宋_GB2312" w:hAnsi="宋体" w:eastAsia="仿宋_GB2312"/>
                <w:sz w:val="24"/>
                <w:szCs w:val="24"/>
              </w:rPr>
              <w:t>盘活闲置土地、低效用地，依法收回到期未动工建设（开发）的土地。</w:t>
            </w:r>
            <w:r>
              <w:rPr>
                <w:rFonts w:hint="eastAsia" w:ascii="仿宋_GB2312" w:hAnsi="宋体" w:eastAsia="仿宋_GB2312"/>
                <w:b/>
                <w:sz w:val="24"/>
                <w:szCs w:val="24"/>
              </w:rPr>
              <w:t>（牵头单位：区自然资源局）</w:t>
            </w:r>
          </w:p>
        </w:tc>
        <w:tc>
          <w:tcPr>
            <w:tcW w:w="1134" w:type="dxa"/>
            <w:vAlign w:val="center"/>
          </w:tcPr>
          <w:p w14:paraId="0DCDB9A5">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5CBC5EBD">
            <w:pPr>
              <w:spacing w:line="300" w:lineRule="exact"/>
              <w:jc w:val="center"/>
              <w:rPr>
                <w:rFonts w:ascii="仿宋_GB2312" w:hAnsi="宋体" w:eastAsia="仿宋_GB2312"/>
                <w:sz w:val="24"/>
                <w:szCs w:val="24"/>
              </w:rPr>
            </w:pPr>
            <w:r>
              <w:rPr>
                <w:rFonts w:hint="eastAsia" w:ascii="仿宋_GB2312" w:hAnsi="宋体" w:eastAsia="仿宋_GB2312"/>
                <w:sz w:val="24"/>
                <w:szCs w:val="24"/>
              </w:rPr>
              <w:t>区土储中心</w:t>
            </w:r>
          </w:p>
          <w:p w14:paraId="039E64C4">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5B595C04">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05E2AEA3">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362FBD50">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45F4E265">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3D54FC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根据广东省土地市场动态监测和动态监管系统显示，截至4月1日，区共有6宗共138.22亩疑似闲置土地待处理，目前区自然资源局已向相关企业发出《闲置土地调查通知书》，以及向市、区相关部门及镇街发函了解该地块具体情况及闲置原因，待综合市、区两级各相关部门意见，确认闲置土地原因后，根据《闲置土地处置办法》对上述疑似闲置土地进行处置。</w:t>
            </w:r>
          </w:p>
        </w:tc>
      </w:tr>
      <w:tr w14:paraId="0307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43" w:type="dxa"/>
            <w:vAlign w:val="center"/>
          </w:tcPr>
          <w:p w14:paraId="18597EE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B4A5C45">
            <w:pPr>
              <w:spacing w:line="300" w:lineRule="exact"/>
              <w:rPr>
                <w:rFonts w:ascii="仿宋_GB2312" w:hAnsi="宋体" w:eastAsia="仿宋_GB2312"/>
                <w:sz w:val="24"/>
                <w:szCs w:val="24"/>
              </w:rPr>
            </w:pPr>
            <w:r>
              <w:rPr>
                <w:rFonts w:hint="eastAsia" w:ascii="仿宋_GB2312" w:hAnsi="宋体" w:eastAsia="仿宋_GB2312"/>
                <w:sz w:val="24"/>
                <w:szCs w:val="24"/>
              </w:rPr>
              <w:t>全面摸清盘活全区厂房、商铺等各类空置物业。</w:t>
            </w:r>
            <w:r>
              <w:rPr>
                <w:rFonts w:hint="eastAsia" w:ascii="仿宋_GB2312" w:hAnsi="宋体" w:eastAsia="仿宋_GB2312"/>
                <w:b/>
                <w:sz w:val="24"/>
                <w:szCs w:val="24"/>
              </w:rPr>
              <w:t>（牵头单位：区科工商务源局）</w:t>
            </w:r>
          </w:p>
        </w:tc>
        <w:tc>
          <w:tcPr>
            <w:tcW w:w="1134" w:type="dxa"/>
            <w:vAlign w:val="center"/>
          </w:tcPr>
          <w:p w14:paraId="40BB86B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690E3C5E">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2C6E55CE">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5D463132">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DD33D07">
            <w:pPr>
              <w:spacing w:line="30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1.已完成第一季度厂房、商铺等各类空置物业情况收集工作。</w:t>
            </w:r>
          </w:p>
          <w:p w14:paraId="2285EAB7">
            <w:pPr>
              <w:spacing w:line="300" w:lineRule="exact"/>
              <w:ind w:firstLine="480" w:firstLineChars="200"/>
              <w:rPr>
                <w:rFonts w:ascii="宋体" w:hAnsi="宋体" w:cs="宋体"/>
                <w:sz w:val="24"/>
                <w:szCs w:val="24"/>
              </w:rPr>
            </w:pPr>
            <w:r>
              <w:rPr>
                <w:rFonts w:hint="eastAsia" w:ascii="仿宋_GB2312" w:hAnsi="宋体" w:eastAsia="仿宋_GB2312" w:cs="宋体"/>
                <w:sz w:val="24"/>
                <w:szCs w:val="24"/>
              </w:rPr>
              <w:t>2.电子产业地图已初步搭建完成。</w:t>
            </w:r>
          </w:p>
        </w:tc>
      </w:tr>
      <w:tr w14:paraId="3E8A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3" w:hRule="atLeast"/>
          <w:jc w:val="center"/>
        </w:trPr>
        <w:tc>
          <w:tcPr>
            <w:tcW w:w="543" w:type="dxa"/>
            <w:vAlign w:val="center"/>
          </w:tcPr>
          <w:p w14:paraId="180F0D3B">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6D09CCA0">
            <w:pPr>
              <w:spacing w:line="300" w:lineRule="exact"/>
              <w:rPr>
                <w:rFonts w:ascii="仿宋_GB2312" w:hAnsi="宋体" w:eastAsia="仿宋_GB2312"/>
                <w:sz w:val="24"/>
                <w:szCs w:val="24"/>
              </w:rPr>
            </w:pPr>
            <w:r>
              <w:rPr>
                <w:rFonts w:hint="eastAsia" w:ascii="仿宋_GB2312" w:hAnsi="宋体" w:eastAsia="仿宋_GB2312"/>
                <w:sz w:val="24"/>
                <w:szCs w:val="24"/>
              </w:rPr>
              <w:t>加强国资国企监管，有针对性对国资国企进行改革。坚持政企分开、政资分开，明晰区属国企定位和发展方向，制定权责清单。</w:t>
            </w:r>
            <w:r>
              <w:rPr>
                <w:rFonts w:hint="eastAsia" w:ascii="仿宋_GB2312" w:hAnsi="宋体" w:eastAsia="仿宋_GB2312"/>
                <w:b/>
                <w:sz w:val="24"/>
                <w:szCs w:val="24"/>
              </w:rPr>
              <w:t>（牵头单位：区国有资产监督管理局）</w:t>
            </w:r>
          </w:p>
        </w:tc>
        <w:tc>
          <w:tcPr>
            <w:tcW w:w="1134" w:type="dxa"/>
            <w:vAlign w:val="center"/>
          </w:tcPr>
          <w:p w14:paraId="674E2C09">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79939351">
            <w:pPr>
              <w:spacing w:line="300" w:lineRule="exact"/>
              <w:jc w:val="center"/>
              <w:rPr>
                <w:rFonts w:ascii="仿宋_GB2312" w:hAnsi="宋体" w:eastAsia="仿宋_GB2312"/>
                <w:sz w:val="24"/>
                <w:szCs w:val="24"/>
              </w:rPr>
            </w:pPr>
            <w:r>
              <w:rPr>
                <w:rFonts w:hint="eastAsia" w:ascii="仿宋_GB2312" w:hAnsi="宋体" w:eastAsia="仿宋_GB2312"/>
                <w:sz w:val="24"/>
                <w:szCs w:val="24"/>
              </w:rPr>
              <w:t>区国有资产监督管理局</w:t>
            </w:r>
          </w:p>
          <w:p w14:paraId="54D468D2">
            <w:pPr>
              <w:spacing w:line="300" w:lineRule="exact"/>
              <w:jc w:val="center"/>
              <w:rPr>
                <w:rFonts w:ascii="仿宋_GB2312" w:hAnsi="宋体" w:eastAsia="仿宋_GB2312"/>
                <w:sz w:val="24"/>
                <w:szCs w:val="24"/>
              </w:rPr>
            </w:pPr>
            <w:r>
              <w:rPr>
                <w:rFonts w:hint="eastAsia" w:ascii="仿宋_GB2312" w:hAnsi="宋体" w:eastAsia="仿宋_GB2312"/>
                <w:sz w:val="24"/>
                <w:szCs w:val="24"/>
              </w:rPr>
              <w:t>区中小企业服务中心</w:t>
            </w:r>
          </w:p>
          <w:p w14:paraId="69FA667B">
            <w:pPr>
              <w:spacing w:line="300" w:lineRule="exact"/>
              <w:jc w:val="center"/>
              <w:rPr>
                <w:rFonts w:ascii="仿宋_GB2312" w:hAnsi="宋体" w:eastAsia="仿宋_GB2312"/>
                <w:sz w:val="24"/>
                <w:szCs w:val="24"/>
              </w:rPr>
            </w:pPr>
            <w:r>
              <w:rPr>
                <w:rFonts w:hint="eastAsia" w:ascii="仿宋_GB2312" w:hAnsi="宋体" w:eastAsia="仿宋_GB2312"/>
                <w:sz w:val="24"/>
                <w:szCs w:val="24"/>
              </w:rPr>
              <w:t>棠下镇</w:t>
            </w:r>
          </w:p>
        </w:tc>
        <w:tc>
          <w:tcPr>
            <w:tcW w:w="7187" w:type="dxa"/>
            <w:vAlign w:val="center"/>
          </w:tcPr>
          <w:p w14:paraId="1EBFEA6C">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223FA1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根据企业上报的最新进展情况，按计划“注销”的17家企业中，有5家将于4月底前完成注销手续；10家已进入公告期，预计5月底前完成注销手续；另有1家企业因涉及到合伙企业注销，预计要到8月才完成注销工作。按计划“待具备条件后注销”的4家企业，有1家处置进度已进入了公告期，预计5月内可完成注销登记手续；其余3家暂未具备注销条件。区国有资产监督管理局于3月26日下发《关于加快推进“三无企业”处置工作的通知》至各一级企业，通报了处置工作进度并提出加快处置的有关工作要求。</w:t>
            </w:r>
          </w:p>
          <w:p w14:paraId="525DF7B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2.滨棠公司、蓬程公司、滨江城投公司的工商变更手续滨江管理公司正在办理之中。</w:t>
            </w:r>
          </w:p>
          <w:p w14:paraId="0AD2415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3.资产公司的房产土地已办理移交，财务管理的移交正在对接中；财信公司的房产土地已办理移交，财务管理、农行资产包、退市档案的移交正在对接中；蓬程公司正在开展审计工作。</w:t>
            </w:r>
          </w:p>
          <w:p w14:paraId="2EE841F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4.已成立深化区属国企改革工作小组，目前正对区属国企、镇（街）属企业的资产状况、经营状况进行详细的摸查，以此作为下阶段实施区属国企结构性优化的基础和依据。</w:t>
            </w:r>
          </w:p>
        </w:tc>
      </w:tr>
      <w:tr w14:paraId="4BA5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543" w:type="dxa"/>
            <w:vAlign w:val="center"/>
          </w:tcPr>
          <w:p w14:paraId="2582580B">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57520740">
            <w:pPr>
              <w:spacing w:line="300" w:lineRule="exact"/>
              <w:rPr>
                <w:rFonts w:ascii="仿宋_GB2312" w:hAnsi="宋体" w:eastAsia="仿宋_GB2312"/>
                <w:sz w:val="24"/>
                <w:szCs w:val="24"/>
              </w:rPr>
            </w:pPr>
            <w:r>
              <w:rPr>
                <w:rFonts w:hint="eastAsia" w:ascii="仿宋_GB2312" w:hAnsi="宋体" w:eastAsia="仿宋_GB2312"/>
                <w:sz w:val="24"/>
                <w:szCs w:val="24"/>
              </w:rPr>
              <w:t>建立完善规章制度，进一步理顺管理机制，健全国有资产监督管理体系。</w:t>
            </w:r>
            <w:r>
              <w:rPr>
                <w:rFonts w:hint="eastAsia" w:ascii="仿宋_GB2312" w:hAnsi="宋体" w:eastAsia="仿宋_GB2312"/>
                <w:b/>
                <w:sz w:val="24"/>
                <w:szCs w:val="24"/>
              </w:rPr>
              <w:t>（牵头单位：区国有资产监督管理局）</w:t>
            </w:r>
          </w:p>
        </w:tc>
        <w:tc>
          <w:tcPr>
            <w:tcW w:w="1134" w:type="dxa"/>
            <w:vAlign w:val="center"/>
          </w:tcPr>
          <w:p w14:paraId="51C8E318">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3BC64F3D">
            <w:pPr>
              <w:spacing w:line="300" w:lineRule="exact"/>
              <w:jc w:val="center"/>
              <w:rPr>
                <w:rFonts w:ascii="仿宋_GB2312" w:hAnsi="宋体" w:eastAsia="仿宋_GB2312"/>
                <w:sz w:val="24"/>
                <w:szCs w:val="24"/>
              </w:rPr>
            </w:pPr>
            <w:r>
              <w:rPr>
                <w:rFonts w:hint="eastAsia" w:ascii="仿宋_GB2312" w:hAnsi="宋体" w:eastAsia="仿宋_GB2312"/>
                <w:sz w:val="24"/>
                <w:szCs w:val="24"/>
              </w:rPr>
              <w:t>区国有资产监督管理局</w:t>
            </w:r>
          </w:p>
        </w:tc>
        <w:tc>
          <w:tcPr>
            <w:tcW w:w="7187" w:type="dxa"/>
            <w:vAlign w:val="center"/>
          </w:tcPr>
          <w:p w14:paraId="094A6294">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04DA37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 1月初已下达区属企业2019年度财务预算编制工作，目前6家一级企业已提交预算编制初稿。</w:t>
            </w:r>
          </w:p>
          <w:p w14:paraId="43C9CE3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2.滨江管理公司、江沙公司基本完成内部制度框架搭建.下一步将督促区属一级国企于6月前基本完成制度搭建。</w:t>
            </w:r>
          </w:p>
          <w:p w14:paraId="57BA0FC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3.在国资管理1+６方案的基础上，逐步建立完善涵盖薪酬制度、资金使用、债务风险管理、安全生产、工程建设、审计等国资监管和权力运行制度，实现企业国有资产监督全覆盖。</w:t>
            </w:r>
          </w:p>
        </w:tc>
      </w:tr>
      <w:tr w14:paraId="34F6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7" w:hRule="atLeast"/>
          <w:jc w:val="center"/>
        </w:trPr>
        <w:tc>
          <w:tcPr>
            <w:tcW w:w="543" w:type="dxa"/>
            <w:vAlign w:val="center"/>
          </w:tcPr>
          <w:p w14:paraId="6D7904FE">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7199A45">
            <w:pPr>
              <w:spacing w:line="300" w:lineRule="exact"/>
              <w:rPr>
                <w:rFonts w:ascii="仿宋_GB2312" w:hAnsi="宋体" w:eastAsia="仿宋_GB2312"/>
                <w:sz w:val="24"/>
                <w:szCs w:val="24"/>
              </w:rPr>
            </w:pPr>
            <w:r>
              <w:rPr>
                <w:rFonts w:hint="eastAsia" w:ascii="仿宋_GB2312" w:hAnsi="宋体" w:eastAsia="仿宋_GB2312"/>
                <w:sz w:val="24"/>
                <w:szCs w:val="24"/>
              </w:rPr>
              <w:t>增强市场化运作、运营能力，推动区属国企与中油碧辟等优质社会资本合作开展实体经营性项目，加快特成沙等国企优质土地开发建设。</w:t>
            </w:r>
            <w:r>
              <w:rPr>
                <w:rFonts w:hint="eastAsia" w:ascii="仿宋_GB2312" w:hAnsi="宋体" w:eastAsia="仿宋_GB2312"/>
                <w:b/>
                <w:sz w:val="24"/>
                <w:szCs w:val="24"/>
              </w:rPr>
              <w:t>（牵头单位：区国有资产监督管理局）</w:t>
            </w:r>
          </w:p>
        </w:tc>
        <w:tc>
          <w:tcPr>
            <w:tcW w:w="1134" w:type="dxa"/>
            <w:vAlign w:val="center"/>
          </w:tcPr>
          <w:p w14:paraId="630B1B48">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30471EA2">
            <w:pPr>
              <w:spacing w:line="300" w:lineRule="exact"/>
              <w:jc w:val="center"/>
              <w:rPr>
                <w:rFonts w:ascii="仿宋_GB2312" w:hAnsi="宋体" w:eastAsia="仿宋_GB2312"/>
                <w:sz w:val="24"/>
                <w:szCs w:val="24"/>
              </w:rPr>
            </w:pPr>
            <w:r>
              <w:rPr>
                <w:rFonts w:hint="eastAsia" w:ascii="仿宋_GB2312" w:hAnsi="宋体" w:eastAsia="仿宋_GB2312"/>
                <w:sz w:val="24"/>
                <w:szCs w:val="24"/>
              </w:rPr>
              <w:t>区国有资产监督管理局</w:t>
            </w:r>
          </w:p>
          <w:p w14:paraId="0B78584E">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tc>
        <w:tc>
          <w:tcPr>
            <w:tcW w:w="7187" w:type="dxa"/>
            <w:vAlign w:val="center"/>
          </w:tcPr>
          <w:p w14:paraId="37DEBFCE">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EC99CF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1.全岛水系改造工程（一期）—示范段已完成总工程量70%；全岛水系改造工程（二期）—A、F片区环岛公园已开工建设，已完成场地清表及施工区域围蔽，A片区机耕路试桩完成9根，F片区机耕路试桩完成4根。</w:t>
            </w:r>
          </w:p>
          <w:p w14:paraId="7A7DD05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滨江管理公司名下的26号地，50号地目前抵押在江门农商银行，滨江管理公司拟将两地块通过广州产权交易所对外征集合作方。目前合作模式及公开招集合作方的请示已经上报区政府，待批复通过后可按计划挂网。在公开征集合作方的挂牌公告结束前，滨江公司拟以自筹资金或启用江门市蓬江区资产经营管理有限公司名下特成沙地块进行抵押物置换的方式解除26号、50号地块的抵押。</w:t>
            </w:r>
          </w:p>
          <w:p w14:paraId="4BA7309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3.特成沙地块合作模式尚未确定，目前滨江公司正在与大型房地产机构商谈合作开发的方案及条件。</w:t>
            </w:r>
          </w:p>
          <w:p w14:paraId="2772588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中油碧辟加油站用地莲塘二路地块已缴纳土地款，并计划办理不动产权登记证。另计划与BP签订土地租赁协议，协议已根据双方及律师意见修改定稿，经上报审批同意后可与中油碧辟签订租赁协议，由中油碧辟负责工程报建工作。</w:t>
            </w:r>
          </w:p>
        </w:tc>
      </w:tr>
      <w:tr w14:paraId="4F0D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jc w:val="center"/>
        </w:trPr>
        <w:tc>
          <w:tcPr>
            <w:tcW w:w="543" w:type="dxa"/>
            <w:vAlign w:val="center"/>
          </w:tcPr>
          <w:p w14:paraId="3A1F2CB2">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0C7EBECF">
            <w:pPr>
              <w:spacing w:line="300" w:lineRule="exact"/>
              <w:rPr>
                <w:rFonts w:ascii="仿宋_GB2312" w:hAnsi="宋体" w:eastAsia="仿宋_GB2312"/>
                <w:sz w:val="24"/>
                <w:szCs w:val="24"/>
              </w:rPr>
            </w:pPr>
            <w:r>
              <w:rPr>
                <w:rFonts w:hint="eastAsia" w:ascii="仿宋_GB2312" w:hAnsi="宋体" w:eastAsia="仿宋_GB2312"/>
                <w:sz w:val="24"/>
                <w:szCs w:val="24"/>
              </w:rPr>
              <w:t>提升融资能力，拓展融资渠道，为发展提供资金保障。</w:t>
            </w:r>
            <w:r>
              <w:rPr>
                <w:rFonts w:hint="eastAsia" w:ascii="仿宋_GB2312" w:hAnsi="宋体" w:eastAsia="仿宋_GB2312"/>
                <w:b/>
                <w:sz w:val="24"/>
                <w:szCs w:val="24"/>
              </w:rPr>
              <w:t>（牵头单位：区国有资产监督管理局）</w:t>
            </w:r>
          </w:p>
        </w:tc>
        <w:tc>
          <w:tcPr>
            <w:tcW w:w="1134" w:type="dxa"/>
            <w:vAlign w:val="center"/>
          </w:tcPr>
          <w:p w14:paraId="00AE291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62CA7CF0">
            <w:pPr>
              <w:spacing w:line="300" w:lineRule="exact"/>
              <w:jc w:val="center"/>
              <w:rPr>
                <w:rFonts w:ascii="仿宋_GB2312" w:hAnsi="宋体" w:eastAsia="仿宋_GB2312"/>
                <w:sz w:val="24"/>
                <w:szCs w:val="24"/>
              </w:rPr>
            </w:pPr>
            <w:r>
              <w:rPr>
                <w:rFonts w:hint="eastAsia" w:ascii="仿宋_GB2312" w:hAnsi="宋体" w:eastAsia="仿宋_GB2312"/>
                <w:sz w:val="24"/>
                <w:szCs w:val="24"/>
              </w:rPr>
              <w:t>区国有资产监督管理局</w:t>
            </w:r>
          </w:p>
        </w:tc>
        <w:tc>
          <w:tcPr>
            <w:tcW w:w="7187" w:type="dxa"/>
            <w:vAlign w:val="center"/>
          </w:tcPr>
          <w:p w14:paraId="394BBFBE">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B1492D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推动区属国企逐步向市场化经营实体转变，积极拓展企业的经营资源和开发经营性项目，彻底改变企业单一依托土地出让收入成本返还的收入结构。如目前正参照滨江管理52号地与越秀地产合作开发的模式，加快该司名下26#、48#、50#地块公开征集合作方的工作，择优选定合作方，通过与合作方共同启动地块的合作开发，盘活公司现有土地资源，进一步增加公司的经营性现金流。</w:t>
            </w:r>
          </w:p>
          <w:p w14:paraId="56D8D64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滨江管理公司已于3月成功发行PPN3亿元，目前已累计成功发行5亿元，剩余额度15亿元将于2019年12月25日到期，争取于到期日前发行剩余额度；滨江管理公司已于3月成功发行私募债1亿元，目前已累计成功发行4.55亿元，剩余额度15.45亿元将于2020年4月27日到期，争取于到期日前发行剩余额度。</w:t>
            </w:r>
          </w:p>
        </w:tc>
      </w:tr>
      <w:tr w14:paraId="0BE8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4" w:hRule="atLeast"/>
          <w:jc w:val="center"/>
        </w:trPr>
        <w:tc>
          <w:tcPr>
            <w:tcW w:w="543" w:type="dxa"/>
            <w:vAlign w:val="center"/>
          </w:tcPr>
          <w:p w14:paraId="64B66F1C">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89D9836">
            <w:pPr>
              <w:spacing w:line="300" w:lineRule="exact"/>
              <w:rPr>
                <w:rFonts w:ascii="仿宋_GB2312" w:hAnsi="宋体" w:eastAsia="仿宋_GB2312"/>
                <w:sz w:val="24"/>
                <w:szCs w:val="24"/>
              </w:rPr>
            </w:pPr>
            <w:r>
              <w:rPr>
                <w:rFonts w:hint="eastAsia" w:ascii="仿宋_GB2312" w:hAnsi="宋体" w:eastAsia="仿宋_GB2312"/>
                <w:sz w:val="24"/>
                <w:szCs w:val="24"/>
              </w:rPr>
              <w:t>落实和健全风险监测、评估、预警和处置机制，密切防范化解重大风险，切实防止国有资产流失。</w:t>
            </w:r>
            <w:r>
              <w:rPr>
                <w:rFonts w:hint="eastAsia" w:ascii="仿宋_GB2312" w:hAnsi="宋体" w:eastAsia="仿宋_GB2312"/>
                <w:b/>
                <w:sz w:val="24"/>
                <w:szCs w:val="24"/>
              </w:rPr>
              <w:t>（牵头单位：区国有资产监督管理局）</w:t>
            </w:r>
          </w:p>
        </w:tc>
        <w:tc>
          <w:tcPr>
            <w:tcW w:w="1134" w:type="dxa"/>
            <w:vAlign w:val="center"/>
          </w:tcPr>
          <w:p w14:paraId="6449EBDD">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14E65E88">
            <w:pPr>
              <w:spacing w:line="300" w:lineRule="exact"/>
              <w:jc w:val="center"/>
              <w:rPr>
                <w:rFonts w:ascii="仿宋_GB2312" w:hAnsi="宋体" w:eastAsia="仿宋_GB2312"/>
                <w:sz w:val="24"/>
                <w:szCs w:val="24"/>
              </w:rPr>
            </w:pPr>
            <w:r>
              <w:rPr>
                <w:rFonts w:hint="eastAsia" w:ascii="仿宋_GB2312" w:hAnsi="宋体" w:eastAsia="仿宋_GB2312"/>
                <w:sz w:val="24"/>
                <w:szCs w:val="24"/>
              </w:rPr>
              <w:t>区国有资产监督管理局</w:t>
            </w:r>
          </w:p>
        </w:tc>
        <w:tc>
          <w:tcPr>
            <w:tcW w:w="7187" w:type="dxa"/>
            <w:vAlign w:val="center"/>
          </w:tcPr>
          <w:p w14:paraId="601DEAD9">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C1F3A4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建立定期企业资金筹划分析工作机制，对滨江管理公司、江沙工业园公司、珠控集团三大区属重点企业2019年资金情况进行摸查，报送2019年企业收入、支出、预计缺口资口情况，同时每季度将按照实际情况对数据进行更新。</w:t>
            </w:r>
          </w:p>
          <w:p w14:paraId="611522A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通过报送和分析重点企业的资金使用计划及资金缺口情况，统筹区属国企资金资源，筹划区属国企资金运作，保障近期刚性兑付资金需求，确保对外融资债务按期还本付息，避免产生系统性金融风险；要求企业提出内部风险预警机制和内部风险评估机制的方案，并报区国有资产监督管理局审计。</w:t>
            </w:r>
          </w:p>
        </w:tc>
      </w:tr>
      <w:tr w14:paraId="1183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543" w:type="dxa"/>
            <w:vAlign w:val="center"/>
          </w:tcPr>
          <w:p w14:paraId="0D249EEE">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CB90744">
            <w:pPr>
              <w:spacing w:line="300" w:lineRule="exact"/>
              <w:rPr>
                <w:rFonts w:ascii="仿宋_GB2312" w:hAnsi="宋体" w:eastAsia="仿宋_GB2312"/>
                <w:sz w:val="24"/>
                <w:szCs w:val="24"/>
              </w:rPr>
            </w:pPr>
            <w:r>
              <w:rPr>
                <w:rFonts w:hint="eastAsia" w:ascii="仿宋_GB2312" w:hAnsi="宋体" w:eastAsia="仿宋_GB2312"/>
                <w:sz w:val="24"/>
                <w:szCs w:val="24"/>
              </w:rPr>
              <w:t>完成产业发展规划编制，明确发展定位和工作思路。</w:t>
            </w:r>
            <w:r>
              <w:rPr>
                <w:rFonts w:hint="eastAsia" w:ascii="仿宋_GB2312" w:hAnsi="宋体" w:eastAsia="仿宋_GB2312"/>
                <w:b/>
                <w:sz w:val="24"/>
                <w:szCs w:val="24"/>
              </w:rPr>
              <w:t>（牵头单位：区发展和改革局）</w:t>
            </w:r>
          </w:p>
        </w:tc>
        <w:tc>
          <w:tcPr>
            <w:tcW w:w="1134" w:type="dxa"/>
            <w:vAlign w:val="center"/>
          </w:tcPr>
          <w:p w14:paraId="22DF3CC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4BCECEB9">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0C9D7846">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75B00CCA">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56C82128">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19FFBF1C">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61D6A1F9">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62A75364">
            <w:pPr>
              <w:spacing w:line="300" w:lineRule="exact"/>
              <w:jc w:val="center"/>
              <w:rPr>
                <w:rFonts w:ascii="仿宋_GB2312" w:hAnsi="宋体" w:eastAsia="仿宋_GB2312"/>
                <w:sz w:val="24"/>
                <w:szCs w:val="24"/>
              </w:rPr>
            </w:pPr>
            <w:r>
              <w:rPr>
                <w:rFonts w:hint="eastAsia" w:ascii="仿宋_GB2312" w:hAnsi="宋体" w:eastAsia="仿宋_GB2312"/>
                <w:sz w:val="24"/>
                <w:szCs w:val="24"/>
              </w:rPr>
              <w:t>区采购中心</w:t>
            </w:r>
          </w:p>
          <w:p w14:paraId="382905BA">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5228D2B8">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FCC0D4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成功召开蓬江区产业发展总体规划编制工作推进会议，对《江门市蓬江区产业发展规划思路研究》、《江门市蓬江区产业发展历程及现状研究报告》、《江门市蓬江区工业企业调研报告》三份研究初步成果进行研讨。</w:t>
            </w:r>
          </w:p>
        </w:tc>
      </w:tr>
      <w:tr w14:paraId="0269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543" w:type="dxa"/>
            <w:vAlign w:val="center"/>
          </w:tcPr>
          <w:p w14:paraId="7B8C7470">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4232502">
            <w:pPr>
              <w:spacing w:line="300" w:lineRule="exact"/>
              <w:rPr>
                <w:rFonts w:ascii="仿宋_GB2312" w:hAnsi="宋体" w:eastAsia="仿宋_GB2312"/>
                <w:sz w:val="24"/>
                <w:szCs w:val="24"/>
              </w:rPr>
            </w:pPr>
            <w:r>
              <w:rPr>
                <w:rFonts w:hint="eastAsia" w:ascii="仿宋_GB2312" w:hAnsi="宋体" w:eastAsia="仿宋_GB2312"/>
                <w:sz w:val="24"/>
                <w:szCs w:val="24"/>
              </w:rPr>
              <w:t>投入粤港澳大湾区建设调研工作，全面对接粤港澳大湾区建设。</w:t>
            </w:r>
            <w:r>
              <w:rPr>
                <w:rFonts w:hint="eastAsia" w:ascii="仿宋_GB2312" w:hAnsi="宋体" w:eastAsia="仿宋_GB2312"/>
                <w:b/>
                <w:sz w:val="24"/>
                <w:szCs w:val="24"/>
              </w:rPr>
              <w:t>（牵头单位：区发展和改革局）</w:t>
            </w:r>
          </w:p>
        </w:tc>
        <w:tc>
          <w:tcPr>
            <w:tcW w:w="1134" w:type="dxa"/>
            <w:vAlign w:val="center"/>
          </w:tcPr>
          <w:p w14:paraId="440B79F3">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289E7CB8">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1D688B5D">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区委办、区政府办公室</w:t>
            </w:r>
          </w:p>
          <w:p w14:paraId="22738012">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区委政法委</w:t>
            </w:r>
          </w:p>
          <w:p w14:paraId="04DF0C87">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7F6BD56D">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76441C06">
            <w:pPr>
              <w:spacing w:line="300" w:lineRule="exact"/>
              <w:jc w:val="center"/>
              <w:rPr>
                <w:rFonts w:ascii="仿宋_GB2312" w:hAnsi="宋体" w:eastAsia="仿宋_GB2312"/>
                <w:sz w:val="24"/>
                <w:szCs w:val="24"/>
              </w:rPr>
            </w:pPr>
            <w:r>
              <w:rPr>
                <w:rFonts w:hint="eastAsia" w:ascii="仿宋_GB2312" w:hAnsi="宋体" w:eastAsia="仿宋_GB2312"/>
                <w:sz w:val="24"/>
                <w:szCs w:val="24"/>
              </w:rPr>
              <w:t>区卫生健康局</w:t>
            </w:r>
          </w:p>
          <w:p w14:paraId="4F6F1ACF">
            <w:pPr>
              <w:spacing w:line="300" w:lineRule="exact"/>
              <w:jc w:val="center"/>
              <w:rPr>
                <w:rFonts w:ascii="仿宋_GB2312" w:hAnsi="宋体" w:eastAsia="仿宋_GB2312"/>
                <w:sz w:val="24"/>
                <w:szCs w:val="24"/>
              </w:rPr>
            </w:pPr>
            <w:r>
              <w:rPr>
                <w:rFonts w:hint="eastAsia" w:ascii="仿宋_GB2312" w:hAnsi="宋体" w:eastAsia="仿宋_GB2312"/>
                <w:sz w:val="24"/>
                <w:szCs w:val="24"/>
              </w:rPr>
              <w:t>区工商联</w:t>
            </w:r>
          </w:p>
        </w:tc>
        <w:tc>
          <w:tcPr>
            <w:tcW w:w="7187" w:type="dxa"/>
            <w:vAlign w:val="center"/>
          </w:tcPr>
          <w:p w14:paraId="6175741B">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AFDD1A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形成《全面拓展与粤港澳大湾区城市互联互通（初稿）》、《营造优越营商环境，提升城市区域竞争力（初稿）》、《关于“加快产业转型升级，推动区经济实现高质量发展”的调研报告（初稿）》、《关于“以三大平台建设打造粤港澳大湾区产业对接平台”的调研报告（初稿）》四篇调研报告。</w:t>
            </w:r>
          </w:p>
        </w:tc>
      </w:tr>
      <w:tr w14:paraId="5D6E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543" w:type="dxa"/>
            <w:vAlign w:val="center"/>
          </w:tcPr>
          <w:p w14:paraId="4B9E9568">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1BB59EB">
            <w:pPr>
              <w:spacing w:line="300" w:lineRule="exact"/>
              <w:rPr>
                <w:rFonts w:ascii="仿宋_GB2312" w:hAnsi="宋体" w:eastAsia="仿宋_GB2312"/>
                <w:sz w:val="24"/>
                <w:szCs w:val="24"/>
                <w:highlight w:val="yellow"/>
              </w:rPr>
            </w:pPr>
            <w:r>
              <w:rPr>
                <w:rFonts w:hint="eastAsia" w:ascii="仿宋_GB2312" w:hAnsi="宋体" w:eastAsia="仿宋_GB2312"/>
                <w:sz w:val="24"/>
                <w:szCs w:val="24"/>
              </w:rPr>
              <w:t>推动交通大会战工作，规划对接珠西综合交通枢纽、港珠澳大桥、深中通道等互联互通快速道路，加快区内各出入口连通建设，打造内联外拓交通网络，全面融入“轨道上的粤港澳大湾区”。</w:t>
            </w:r>
            <w:r>
              <w:rPr>
                <w:rFonts w:hint="eastAsia" w:ascii="仿宋_GB2312" w:hAnsi="宋体" w:eastAsia="仿宋_GB2312"/>
                <w:b/>
                <w:sz w:val="24"/>
                <w:szCs w:val="24"/>
              </w:rPr>
              <w:t>（牵头单位：区住房城乡建设局）</w:t>
            </w:r>
          </w:p>
        </w:tc>
        <w:tc>
          <w:tcPr>
            <w:tcW w:w="1134" w:type="dxa"/>
            <w:vAlign w:val="center"/>
          </w:tcPr>
          <w:p w14:paraId="4D0377F4">
            <w:pPr>
              <w:spacing w:line="300" w:lineRule="exact"/>
              <w:jc w:val="center"/>
              <w:rPr>
                <w:rFonts w:ascii="仿宋_GB2312" w:hAnsi="宋体" w:eastAsia="仿宋_GB2312" w:cs="Times New Roman"/>
                <w:sz w:val="24"/>
                <w:szCs w:val="24"/>
                <w:highlight w:val="yellow"/>
              </w:rPr>
            </w:pPr>
            <w:r>
              <w:rPr>
                <w:rFonts w:hint="eastAsia" w:ascii="仿宋_GB2312" w:hAnsi="宋体" w:eastAsia="仿宋_GB2312" w:cs="Times New Roman"/>
                <w:sz w:val="24"/>
                <w:szCs w:val="24"/>
              </w:rPr>
              <w:t>亢雁直</w:t>
            </w:r>
          </w:p>
        </w:tc>
        <w:tc>
          <w:tcPr>
            <w:tcW w:w="3119" w:type="dxa"/>
            <w:vAlign w:val="center"/>
          </w:tcPr>
          <w:p w14:paraId="41112215">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6EF6CF3F">
            <w:pPr>
              <w:spacing w:line="300" w:lineRule="exact"/>
              <w:jc w:val="center"/>
              <w:rPr>
                <w:rFonts w:ascii="仿宋_GB2312" w:hAnsi="宋体" w:eastAsia="仿宋_GB2312"/>
                <w:sz w:val="24"/>
                <w:szCs w:val="24"/>
                <w:highlight w:val="yellow"/>
              </w:rPr>
            </w:pPr>
            <w:r>
              <w:rPr>
                <w:rFonts w:hint="eastAsia" w:ascii="仿宋_GB2312" w:hAnsi="宋体" w:eastAsia="仿宋_GB2312"/>
                <w:sz w:val="24"/>
                <w:szCs w:val="24"/>
              </w:rPr>
              <w:t>区自然资源局</w:t>
            </w:r>
          </w:p>
        </w:tc>
        <w:tc>
          <w:tcPr>
            <w:tcW w:w="7187" w:type="dxa"/>
            <w:vAlign w:val="center"/>
          </w:tcPr>
          <w:p w14:paraId="3570CDBD">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2CDF87C">
            <w:pPr>
              <w:spacing w:line="300" w:lineRule="exact"/>
              <w:ind w:firstLine="480" w:firstLineChars="200"/>
              <w:rPr>
                <w:rFonts w:ascii="仿宋_GB2312" w:hAnsi="黑体" w:eastAsia="仿宋_GB2312" w:cs="Times New Roman"/>
                <w:sz w:val="24"/>
                <w:szCs w:val="24"/>
                <w:highlight w:val="yellow"/>
              </w:rPr>
            </w:pPr>
            <w:r>
              <w:rPr>
                <w:rFonts w:hint="eastAsia" w:ascii="仿宋_GB2312" w:hAnsi="黑体" w:eastAsia="仿宋_GB2312" w:cs="Times New Roman"/>
                <w:sz w:val="24"/>
                <w:szCs w:val="24"/>
              </w:rPr>
              <w:t>已委托相关单位编制《江门市蓬江区三年交通基础设施（2018-2020）建设方案报告》，目前正进行第二轮征求意见准备工作。</w:t>
            </w:r>
          </w:p>
        </w:tc>
      </w:tr>
      <w:tr w14:paraId="2108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543" w:type="dxa"/>
            <w:vAlign w:val="center"/>
          </w:tcPr>
          <w:p w14:paraId="31AD5201">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195F871">
            <w:pPr>
              <w:spacing w:line="300" w:lineRule="exact"/>
              <w:rPr>
                <w:rFonts w:ascii="仿宋_GB2312" w:hAnsi="宋体" w:eastAsia="仿宋_GB2312"/>
                <w:sz w:val="24"/>
                <w:szCs w:val="24"/>
                <w:highlight w:val="yellow"/>
              </w:rPr>
            </w:pPr>
            <w:r>
              <w:rPr>
                <w:rFonts w:hint="eastAsia" w:ascii="仿宋_GB2312" w:hAnsi="宋体" w:eastAsia="仿宋_GB2312"/>
                <w:sz w:val="24"/>
                <w:szCs w:val="24"/>
              </w:rPr>
              <w:t>加强产业对接，积极承接广州、深圳等发达地区的产能溢出，力促创显科教项目、迪浪大数据等项目年内动工建设。</w:t>
            </w:r>
            <w:r>
              <w:rPr>
                <w:rFonts w:hint="eastAsia" w:ascii="仿宋_GB2312" w:hAnsi="宋体" w:eastAsia="仿宋_GB2312"/>
                <w:b/>
                <w:sz w:val="24"/>
                <w:szCs w:val="24"/>
              </w:rPr>
              <w:t>（牵头单位：区科工商务局）</w:t>
            </w:r>
          </w:p>
        </w:tc>
        <w:tc>
          <w:tcPr>
            <w:tcW w:w="1134" w:type="dxa"/>
            <w:vAlign w:val="center"/>
          </w:tcPr>
          <w:p w14:paraId="21F2BF96">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7329EEA2">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494CF102">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28474C2C">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2AF26941">
            <w:pPr>
              <w:spacing w:line="300" w:lineRule="exact"/>
              <w:jc w:val="center"/>
              <w:rPr>
                <w:rFonts w:ascii="仿宋_GB2312" w:hAnsi="宋体" w:eastAsia="仿宋_GB2312"/>
                <w:sz w:val="24"/>
                <w:szCs w:val="24"/>
              </w:rPr>
            </w:pPr>
            <w:r>
              <w:rPr>
                <w:rFonts w:hint="eastAsia" w:ascii="仿宋_GB2312" w:hAnsi="宋体" w:eastAsia="仿宋_GB2312"/>
                <w:sz w:val="24"/>
                <w:szCs w:val="24"/>
              </w:rPr>
              <w:t>环市街</w:t>
            </w:r>
          </w:p>
        </w:tc>
        <w:tc>
          <w:tcPr>
            <w:tcW w:w="7187" w:type="dxa"/>
            <w:vAlign w:val="center"/>
          </w:tcPr>
          <w:p w14:paraId="1279941F">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28F7EF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1.迪浪大数据产业园已完成首期拍地手续；</w:t>
            </w:r>
          </w:p>
          <w:p w14:paraId="4C89E42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2.迪浪大数据及创显科教项目正在进行规划设计。</w:t>
            </w:r>
          </w:p>
        </w:tc>
      </w:tr>
      <w:tr w14:paraId="576D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jc w:val="center"/>
        </w:trPr>
        <w:tc>
          <w:tcPr>
            <w:tcW w:w="543" w:type="dxa"/>
            <w:vAlign w:val="center"/>
          </w:tcPr>
          <w:p w14:paraId="1E5900AD">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15E85E9">
            <w:pPr>
              <w:spacing w:line="300" w:lineRule="exact"/>
              <w:rPr>
                <w:rFonts w:ascii="仿宋_GB2312" w:hAnsi="宋体" w:eastAsia="仿宋_GB2312"/>
                <w:sz w:val="24"/>
                <w:szCs w:val="24"/>
              </w:rPr>
            </w:pPr>
            <w:r>
              <w:rPr>
                <w:rFonts w:hint="eastAsia" w:ascii="仿宋_GB2312" w:hAnsi="宋体" w:eastAsia="仿宋_GB2312"/>
                <w:sz w:val="24"/>
                <w:szCs w:val="24"/>
              </w:rPr>
              <w:t>助推企业“走出去”，发挥侨乡优势，加强与港澳交流合作。</w:t>
            </w:r>
            <w:r>
              <w:rPr>
                <w:rFonts w:hint="eastAsia" w:ascii="仿宋_GB2312" w:hAnsi="宋体" w:eastAsia="仿宋_GB2312"/>
                <w:b/>
                <w:sz w:val="24"/>
                <w:szCs w:val="24"/>
              </w:rPr>
              <w:t>（牵头单位：区科工商务局）</w:t>
            </w:r>
          </w:p>
        </w:tc>
        <w:tc>
          <w:tcPr>
            <w:tcW w:w="1134" w:type="dxa"/>
            <w:vAlign w:val="center"/>
          </w:tcPr>
          <w:p w14:paraId="7D965A9C">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12D0B6A6">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623B26D7">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6235ED00">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区委统战部</w:t>
            </w:r>
          </w:p>
        </w:tc>
        <w:tc>
          <w:tcPr>
            <w:tcW w:w="7187" w:type="dxa"/>
            <w:vAlign w:val="center"/>
          </w:tcPr>
          <w:p w14:paraId="1689B0F8">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552337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1.已于3月19日在香港召开蓬江区投资推介会。</w:t>
            </w:r>
          </w:p>
          <w:p w14:paraId="03FF516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2.第一季度积极发动区内企业参加广东（巴拿马）商品展览会、广东（巴西）商品展览会、广东（墨西哥）商品展览会等多个境外展会，支持区企业开拓国际市场。</w:t>
            </w:r>
          </w:p>
          <w:p w14:paraId="4C8CEFE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积极配合市商务局做好境外投资企业的服务工作，转发市商务局关于对《对外承包工程业务统计调查制度》和《对外劳务合作业务统计调查制度》以及做好境外中资企业机构和人员安全工作的相关通知给本辖区境外投资企业。</w:t>
            </w:r>
          </w:p>
        </w:tc>
      </w:tr>
      <w:tr w14:paraId="42B8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atLeast"/>
          <w:jc w:val="center"/>
        </w:trPr>
        <w:tc>
          <w:tcPr>
            <w:tcW w:w="543" w:type="dxa"/>
            <w:vAlign w:val="center"/>
          </w:tcPr>
          <w:p w14:paraId="2FEFFCFC">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63DB033">
            <w:pPr>
              <w:spacing w:line="300" w:lineRule="exact"/>
              <w:rPr>
                <w:rFonts w:ascii="仿宋_GB2312" w:hAnsi="宋体" w:eastAsia="仿宋_GB2312"/>
                <w:sz w:val="24"/>
                <w:szCs w:val="24"/>
              </w:rPr>
            </w:pPr>
            <w:r>
              <w:rPr>
                <w:rFonts w:hint="eastAsia" w:ascii="仿宋_GB2312" w:hAnsi="宋体" w:eastAsia="仿宋_GB2312"/>
                <w:sz w:val="24"/>
                <w:szCs w:val="24"/>
              </w:rPr>
              <w:t>发挥职能作用，进一步加强与台港澳社团、协会、知名人士等的沟通联系，促进蓬江区与台港澳三地的文化、教育、经贸等方面的交流合作。</w:t>
            </w:r>
            <w:r>
              <w:rPr>
                <w:rFonts w:hint="eastAsia" w:ascii="仿宋_GB2312" w:hAnsi="宋体" w:eastAsia="仿宋_GB2312"/>
                <w:b/>
                <w:sz w:val="24"/>
                <w:szCs w:val="24"/>
              </w:rPr>
              <w:t>（牵头单位：区委统战部）</w:t>
            </w:r>
          </w:p>
        </w:tc>
        <w:tc>
          <w:tcPr>
            <w:tcW w:w="1134" w:type="dxa"/>
            <w:vAlign w:val="center"/>
          </w:tcPr>
          <w:p w14:paraId="5916995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林建中</w:t>
            </w:r>
          </w:p>
        </w:tc>
        <w:tc>
          <w:tcPr>
            <w:tcW w:w="3119" w:type="dxa"/>
            <w:vAlign w:val="center"/>
          </w:tcPr>
          <w:p w14:paraId="12EE6D7A">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区委统战部</w:t>
            </w:r>
          </w:p>
          <w:p w14:paraId="46E95AA4">
            <w:pPr>
              <w:spacing w:line="300" w:lineRule="exact"/>
              <w:jc w:val="center"/>
              <w:rPr>
                <w:rFonts w:ascii="仿宋_GB2312" w:hAnsi="宋体" w:eastAsia="仿宋_GB2312"/>
                <w:sz w:val="24"/>
                <w:szCs w:val="24"/>
              </w:rPr>
            </w:pPr>
            <w:r>
              <w:rPr>
                <w:rFonts w:hint="eastAsia" w:ascii="仿宋_GB2312" w:hAnsi="宋体" w:eastAsia="仿宋_GB2312"/>
                <w:sz w:val="24"/>
                <w:szCs w:val="24"/>
              </w:rPr>
              <w:t>区教育局</w:t>
            </w:r>
          </w:p>
          <w:p w14:paraId="3D280295">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690FB730">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区文化广电旅游体育局</w:t>
            </w:r>
          </w:p>
          <w:p w14:paraId="48E7A1D7">
            <w:pPr>
              <w:spacing w:line="300" w:lineRule="exact"/>
              <w:jc w:val="center"/>
              <w:rPr>
                <w:rFonts w:ascii="仿宋_GB2312" w:hAnsi="宋体" w:eastAsia="仿宋_GB2312"/>
                <w:sz w:val="24"/>
                <w:szCs w:val="24"/>
              </w:rPr>
            </w:pPr>
            <w:r>
              <w:rPr>
                <w:rFonts w:hint="eastAsia" w:ascii="仿宋_GB2312" w:hAnsi="宋体" w:eastAsia="仿宋_GB2312"/>
                <w:sz w:val="24"/>
                <w:szCs w:val="24"/>
              </w:rPr>
              <w:t>团区委</w:t>
            </w:r>
          </w:p>
          <w:p w14:paraId="66FC5FA0">
            <w:pPr>
              <w:spacing w:line="300" w:lineRule="exact"/>
              <w:jc w:val="center"/>
              <w:rPr>
                <w:rFonts w:ascii="仿宋_GB2312" w:hAnsi="宋体" w:eastAsia="仿宋_GB2312"/>
                <w:sz w:val="24"/>
                <w:szCs w:val="24"/>
              </w:rPr>
            </w:pPr>
            <w:r>
              <w:rPr>
                <w:rFonts w:hint="eastAsia" w:ascii="仿宋_GB2312" w:hAnsi="宋体" w:eastAsia="仿宋_GB2312"/>
                <w:sz w:val="24"/>
                <w:szCs w:val="24"/>
              </w:rPr>
              <w:t>区工商联</w:t>
            </w:r>
          </w:p>
        </w:tc>
        <w:tc>
          <w:tcPr>
            <w:tcW w:w="7187" w:type="dxa"/>
            <w:vAlign w:val="center"/>
          </w:tcPr>
          <w:p w14:paraId="54E5BDB8">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57BB3F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1.开展对外联谊</w:t>
            </w:r>
          </w:p>
          <w:p w14:paraId="230BC12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（1）2、3月，参加香港荷塘同乡会、潮连同乡会庆典。</w:t>
            </w:r>
          </w:p>
          <w:p w14:paraId="719B8FC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（2）3月1日，接待香港五邑总会回乡考察。</w:t>
            </w:r>
          </w:p>
          <w:p w14:paraId="6A0401F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（3）3月2日，接待香港渠务署唐嘉鸿署长到白石乡考察交流。</w:t>
            </w:r>
          </w:p>
          <w:p w14:paraId="5D87794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（4）3月16日，接待香港荷塘同乡会、澳门荷塘同乡会回乡考察。</w:t>
            </w:r>
          </w:p>
          <w:p w14:paraId="40AB8B4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2.江港澳文化、教育交流</w:t>
            </w:r>
          </w:p>
          <w:p w14:paraId="5284A9A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（1）2月21日，香港五邑工商总会学校到紫沙小学学习交流。</w:t>
            </w:r>
          </w:p>
          <w:p w14:paraId="7AB25FD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（2）2月23日,培英初中小学赴港参加“丝铜颂培英情”音乐会。</w:t>
            </w:r>
          </w:p>
          <w:p w14:paraId="0976524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（3）3月1日，香港狮子会中学到范罗冈小学学习交流。</w:t>
            </w:r>
          </w:p>
          <w:p w14:paraId="775BD3C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（4）3月1日，接待香港中学先导团参观南方教装。</w:t>
            </w:r>
          </w:p>
          <w:p w14:paraId="2E22193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（5）3月13日，香港培英小学到培英小学学习交流。</w:t>
            </w:r>
          </w:p>
          <w:p w14:paraId="67A7293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（6）3月18日，范罗冈小学三名教师到澳门莲峰普济学校作教学交流。</w:t>
            </w:r>
          </w:p>
          <w:p w14:paraId="1B9671A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（7）3月29日，香港天水围香岛中学到怡福中学参观学习交流。</w:t>
            </w:r>
          </w:p>
          <w:p w14:paraId="26C877B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3.对外经贸交流</w:t>
            </w:r>
          </w:p>
          <w:p w14:paraId="1B121F0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（1）2月21日，拜会美心集团主席伍伟国先生，协调厂房建设及增资扩产事宜。</w:t>
            </w:r>
          </w:p>
          <w:p w14:paraId="4D18272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（2）3月18日，区投资环境推介会期间，区领导和相关职能部门、镇街的领导分别拜访港澳重点企业、社团及知名人士。</w:t>
            </w:r>
          </w:p>
          <w:p w14:paraId="59A27C3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（3）3月27日，张文新常委与区科工商务局赴港澳参加市招商推介会。</w:t>
            </w:r>
          </w:p>
        </w:tc>
      </w:tr>
      <w:tr w14:paraId="37C9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543" w:type="dxa"/>
            <w:vMerge w:val="restart"/>
            <w:vAlign w:val="center"/>
          </w:tcPr>
          <w:p w14:paraId="53B0BEFC">
            <w:pPr>
              <w:numPr>
                <w:ilvl w:val="0"/>
                <w:numId w:val="2"/>
              </w:numPr>
              <w:spacing w:line="300" w:lineRule="exact"/>
              <w:jc w:val="center"/>
              <w:rPr>
                <w:rFonts w:ascii="仿宋_GB2312" w:hAnsi="黑体" w:eastAsia="仿宋_GB2312" w:cs="仿宋_GB2312"/>
                <w:sz w:val="24"/>
                <w:szCs w:val="24"/>
              </w:rPr>
            </w:pPr>
          </w:p>
        </w:tc>
        <w:tc>
          <w:tcPr>
            <w:tcW w:w="3415" w:type="dxa"/>
            <w:gridSpan w:val="3"/>
            <w:vMerge w:val="restart"/>
            <w:vAlign w:val="center"/>
          </w:tcPr>
          <w:p w14:paraId="5690E7F7">
            <w:pPr>
              <w:spacing w:line="300" w:lineRule="exact"/>
              <w:rPr>
                <w:rFonts w:ascii="仿宋_GB2312" w:hAnsi="宋体" w:eastAsia="仿宋_GB2312"/>
                <w:sz w:val="24"/>
                <w:szCs w:val="24"/>
              </w:rPr>
            </w:pPr>
            <w:r>
              <w:rPr>
                <w:rFonts w:hint="eastAsia" w:ascii="仿宋_GB2312" w:hAnsi="宋体" w:eastAsia="仿宋_GB2312"/>
                <w:sz w:val="24"/>
                <w:szCs w:val="24"/>
              </w:rPr>
              <w:t>推进商事制度改革，将企业开办时间压缩至3个工作日内。深化“证照分离”改革，破解“准入不准营”难题。</w:t>
            </w:r>
            <w:r>
              <w:rPr>
                <w:rFonts w:hint="eastAsia" w:ascii="仿宋_GB2312" w:hAnsi="宋体" w:eastAsia="仿宋_GB2312"/>
                <w:b/>
                <w:sz w:val="24"/>
                <w:szCs w:val="24"/>
              </w:rPr>
              <w:t>（牵头单位：区市场监管局）</w:t>
            </w:r>
          </w:p>
        </w:tc>
        <w:tc>
          <w:tcPr>
            <w:tcW w:w="1134" w:type="dxa"/>
            <w:vMerge w:val="restart"/>
            <w:vAlign w:val="center"/>
          </w:tcPr>
          <w:p w14:paraId="36C7D2B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Merge w:val="restart"/>
            <w:vAlign w:val="center"/>
          </w:tcPr>
          <w:p w14:paraId="4BA44BC4">
            <w:pPr>
              <w:spacing w:line="300" w:lineRule="exact"/>
              <w:jc w:val="center"/>
              <w:rPr>
                <w:rFonts w:ascii="仿宋_GB2312" w:hAnsi="宋体" w:eastAsia="仿宋_GB2312"/>
                <w:sz w:val="24"/>
                <w:szCs w:val="24"/>
              </w:rPr>
            </w:pPr>
            <w:r>
              <w:rPr>
                <w:rFonts w:hint="eastAsia" w:ascii="仿宋_GB2312" w:hAnsi="宋体" w:eastAsia="仿宋_GB2312"/>
                <w:sz w:val="24"/>
                <w:szCs w:val="24"/>
              </w:rPr>
              <w:t>区市场监管局</w:t>
            </w:r>
          </w:p>
          <w:p w14:paraId="592F28CA">
            <w:pPr>
              <w:spacing w:line="300" w:lineRule="exact"/>
              <w:jc w:val="center"/>
              <w:rPr>
                <w:rFonts w:ascii="仿宋_GB2312" w:hAnsi="宋体" w:eastAsia="仿宋_GB2312"/>
                <w:sz w:val="24"/>
                <w:szCs w:val="24"/>
              </w:rPr>
            </w:pPr>
            <w:r>
              <w:rPr>
                <w:rFonts w:hint="eastAsia" w:ascii="仿宋_GB2312" w:hAnsi="宋体" w:eastAsia="仿宋_GB2312"/>
                <w:sz w:val="24"/>
                <w:szCs w:val="24"/>
              </w:rPr>
              <w:t>区政务服务数据管理局</w:t>
            </w:r>
          </w:p>
          <w:p w14:paraId="5E14A9C6">
            <w:pPr>
              <w:spacing w:line="300" w:lineRule="exact"/>
              <w:jc w:val="center"/>
              <w:rPr>
                <w:rFonts w:ascii="仿宋_GB2312" w:hAnsi="宋体" w:eastAsia="仿宋_GB2312"/>
                <w:sz w:val="24"/>
                <w:szCs w:val="24"/>
              </w:rPr>
            </w:pPr>
            <w:r>
              <w:rPr>
                <w:rFonts w:hint="eastAsia" w:ascii="仿宋_GB2312" w:hAnsi="宋体" w:eastAsia="仿宋_GB2312"/>
                <w:sz w:val="24"/>
                <w:szCs w:val="24"/>
              </w:rPr>
              <w:t>区税务局</w:t>
            </w:r>
          </w:p>
          <w:p w14:paraId="0C5D3B6D">
            <w:pPr>
              <w:spacing w:line="300" w:lineRule="exact"/>
              <w:jc w:val="center"/>
              <w:rPr>
                <w:rFonts w:ascii="仿宋_GB2312" w:hAnsi="宋体" w:eastAsia="仿宋_GB2312"/>
                <w:sz w:val="24"/>
                <w:szCs w:val="24"/>
              </w:rPr>
            </w:pPr>
            <w:r>
              <w:rPr>
                <w:rFonts w:hint="eastAsia" w:ascii="仿宋_GB2312" w:hAnsi="宋体" w:eastAsia="仿宋_GB2312"/>
                <w:sz w:val="24"/>
                <w:szCs w:val="24"/>
              </w:rPr>
              <w:t>区公安分局</w:t>
            </w:r>
          </w:p>
          <w:p w14:paraId="57D7F547">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区直有关单位</w:t>
            </w:r>
          </w:p>
        </w:tc>
        <w:tc>
          <w:tcPr>
            <w:tcW w:w="7187" w:type="dxa"/>
            <w:vMerge w:val="restart"/>
            <w:vAlign w:val="center"/>
          </w:tcPr>
          <w:p w14:paraId="0969AF88">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1378DC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继续全面落实“多证合一”、“证照分离”、简易注销、全程电子化、名称自主申报、住所申报制等一系列商改措施，并积极承接外商投资企业登记等下放行政审批事项，进一步推进“简政放权”，优化营商环境，激发市场活力。</w:t>
            </w:r>
          </w:p>
          <w:p w14:paraId="15873FB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截至3月底，共发放“多证合一”营业执照4617张，办理“证照分离”业务2732宗，企业简易注销登记192宗，全程电子化登记632宗，住所申报制70宗，外商投资企业登记业务3宗，共有800多家企业通过名称自主申报系统成功申报企业名称。</w:t>
            </w:r>
          </w:p>
          <w:p w14:paraId="2F16119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3.积极落实开办企业1个工作日示范点有关工作要求，提高办事效率和服务质量，不断提升开办企业便利度和企业办事获得感。</w:t>
            </w:r>
          </w:p>
        </w:tc>
      </w:tr>
      <w:tr w14:paraId="5583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543" w:type="dxa"/>
            <w:vMerge w:val="continue"/>
            <w:vAlign w:val="center"/>
          </w:tcPr>
          <w:p w14:paraId="1D357248">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38CE3315">
            <w:pPr>
              <w:spacing w:line="300" w:lineRule="exact"/>
              <w:rPr>
                <w:rFonts w:ascii="仿宋_GB2312" w:hAnsi="宋体" w:eastAsia="仿宋_GB2312"/>
                <w:sz w:val="24"/>
                <w:szCs w:val="24"/>
              </w:rPr>
            </w:pPr>
          </w:p>
        </w:tc>
        <w:tc>
          <w:tcPr>
            <w:tcW w:w="1134" w:type="dxa"/>
            <w:vMerge w:val="continue"/>
            <w:vAlign w:val="center"/>
          </w:tcPr>
          <w:p w14:paraId="2BE392EA">
            <w:pPr>
              <w:spacing w:line="300" w:lineRule="exact"/>
              <w:jc w:val="center"/>
              <w:rPr>
                <w:rFonts w:ascii="仿宋_GB2312" w:hAnsi="宋体" w:eastAsia="仿宋_GB2312" w:cs="Times New Roman"/>
                <w:sz w:val="24"/>
                <w:szCs w:val="24"/>
              </w:rPr>
            </w:pPr>
          </w:p>
        </w:tc>
        <w:tc>
          <w:tcPr>
            <w:tcW w:w="3119" w:type="dxa"/>
            <w:vMerge w:val="continue"/>
            <w:vAlign w:val="center"/>
          </w:tcPr>
          <w:p w14:paraId="70D104DB">
            <w:pPr>
              <w:spacing w:line="300" w:lineRule="exact"/>
              <w:jc w:val="center"/>
              <w:rPr>
                <w:rFonts w:ascii="仿宋_GB2312" w:hAnsi="宋体" w:eastAsia="仿宋_GB2312"/>
                <w:sz w:val="24"/>
                <w:szCs w:val="24"/>
              </w:rPr>
            </w:pPr>
          </w:p>
        </w:tc>
        <w:tc>
          <w:tcPr>
            <w:tcW w:w="7187" w:type="dxa"/>
            <w:vMerge w:val="continue"/>
            <w:vAlign w:val="center"/>
          </w:tcPr>
          <w:p w14:paraId="0974B5EA">
            <w:pPr>
              <w:spacing w:line="300" w:lineRule="exact"/>
              <w:ind w:firstLine="480" w:firstLineChars="200"/>
              <w:rPr>
                <w:rFonts w:ascii="仿宋_GB2312" w:hAnsi="黑体" w:eastAsia="仿宋_GB2312" w:cs="Times New Roman"/>
                <w:sz w:val="24"/>
                <w:szCs w:val="24"/>
              </w:rPr>
            </w:pPr>
          </w:p>
        </w:tc>
      </w:tr>
      <w:tr w14:paraId="5684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543" w:type="dxa"/>
            <w:vMerge w:val="continue"/>
            <w:vAlign w:val="center"/>
          </w:tcPr>
          <w:p w14:paraId="09C182FA">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27F5BFB6">
            <w:pPr>
              <w:spacing w:line="300" w:lineRule="exact"/>
              <w:rPr>
                <w:rFonts w:ascii="仿宋_GB2312" w:hAnsi="宋体" w:eastAsia="仿宋_GB2312"/>
                <w:sz w:val="24"/>
                <w:szCs w:val="24"/>
              </w:rPr>
            </w:pPr>
          </w:p>
        </w:tc>
        <w:tc>
          <w:tcPr>
            <w:tcW w:w="1134" w:type="dxa"/>
            <w:vMerge w:val="continue"/>
            <w:vAlign w:val="center"/>
          </w:tcPr>
          <w:p w14:paraId="0944B3DA">
            <w:pPr>
              <w:spacing w:line="300" w:lineRule="exact"/>
              <w:jc w:val="center"/>
              <w:rPr>
                <w:rFonts w:ascii="仿宋_GB2312" w:hAnsi="宋体" w:eastAsia="仿宋_GB2312" w:cs="Times New Roman"/>
                <w:sz w:val="24"/>
                <w:szCs w:val="24"/>
              </w:rPr>
            </w:pPr>
          </w:p>
        </w:tc>
        <w:tc>
          <w:tcPr>
            <w:tcW w:w="3119" w:type="dxa"/>
            <w:vMerge w:val="continue"/>
            <w:vAlign w:val="center"/>
          </w:tcPr>
          <w:p w14:paraId="096941CD">
            <w:pPr>
              <w:spacing w:line="300" w:lineRule="exact"/>
              <w:jc w:val="center"/>
              <w:rPr>
                <w:rFonts w:ascii="仿宋_GB2312" w:hAnsi="宋体" w:eastAsia="仿宋_GB2312"/>
                <w:sz w:val="24"/>
                <w:szCs w:val="24"/>
              </w:rPr>
            </w:pPr>
          </w:p>
        </w:tc>
        <w:tc>
          <w:tcPr>
            <w:tcW w:w="7187" w:type="dxa"/>
            <w:vMerge w:val="continue"/>
            <w:vAlign w:val="center"/>
          </w:tcPr>
          <w:p w14:paraId="785297D5">
            <w:pPr>
              <w:spacing w:line="300" w:lineRule="exact"/>
              <w:ind w:firstLine="480" w:firstLineChars="200"/>
              <w:rPr>
                <w:rFonts w:ascii="仿宋_GB2312" w:hAnsi="黑体" w:eastAsia="仿宋_GB2312" w:cs="Times New Roman"/>
                <w:sz w:val="24"/>
                <w:szCs w:val="24"/>
              </w:rPr>
            </w:pPr>
          </w:p>
        </w:tc>
      </w:tr>
      <w:tr w14:paraId="6FFF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543" w:type="dxa"/>
            <w:vAlign w:val="center"/>
          </w:tcPr>
          <w:p w14:paraId="5705152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62877945">
            <w:pPr>
              <w:spacing w:line="300" w:lineRule="exact"/>
              <w:rPr>
                <w:rFonts w:ascii="仿宋_GB2312" w:hAnsi="宋体" w:eastAsia="仿宋_GB2312"/>
                <w:sz w:val="24"/>
                <w:szCs w:val="24"/>
                <w:highlight w:val="yellow"/>
              </w:rPr>
            </w:pPr>
            <w:r>
              <w:rPr>
                <w:rFonts w:hint="eastAsia" w:ascii="仿宋_GB2312" w:hAnsi="宋体" w:eastAsia="仿宋_GB2312"/>
                <w:sz w:val="24"/>
                <w:szCs w:val="24"/>
              </w:rPr>
              <w:t>进一步完善“容缺办理”“容缺审批”双轨机制。</w:t>
            </w:r>
            <w:r>
              <w:rPr>
                <w:rFonts w:hint="eastAsia" w:ascii="仿宋_GB2312" w:hAnsi="宋体" w:eastAsia="仿宋_GB2312"/>
                <w:b/>
                <w:sz w:val="24"/>
                <w:szCs w:val="24"/>
              </w:rPr>
              <w:t>（牵头单位：区发展和改革局）</w:t>
            </w:r>
          </w:p>
        </w:tc>
        <w:tc>
          <w:tcPr>
            <w:tcW w:w="1134" w:type="dxa"/>
            <w:vAlign w:val="center"/>
          </w:tcPr>
          <w:p w14:paraId="48E8E405">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7D846219">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6BAB5558">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1878D11F">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7BFA36E4">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142F04B4">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p w14:paraId="13C5B625">
            <w:pPr>
              <w:spacing w:line="300" w:lineRule="exact"/>
              <w:jc w:val="center"/>
              <w:rPr>
                <w:rFonts w:ascii="仿宋_GB2312" w:hAnsi="宋体" w:eastAsia="仿宋_GB2312"/>
                <w:sz w:val="24"/>
                <w:szCs w:val="24"/>
              </w:rPr>
            </w:pPr>
            <w:r>
              <w:rPr>
                <w:rFonts w:hint="eastAsia" w:ascii="仿宋_GB2312" w:hAnsi="宋体" w:eastAsia="仿宋_GB2312"/>
                <w:sz w:val="24"/>
                <w:szCs w:val="24"/>
              </w:rPr>
              <w:t>区市场监管局</w:t>
            </w:r>
          </w:p>
          <w:p w14:paraId="62DC0781">
            <w:pPr>
              <w:spacing w:line="300" w:lineRule="exact"/>
              <w:jc w:val="center"/>
              <w:rPr>
                <w:rFonts w:ascii="仿宋_GB2312" w:hAnsi="宋体" w:eastAsia="仿宋_GB2312"/>
                <w:sz w:val="24"/>
                <w:szCs w:val="24"/>
              </w:rPr>
            </w:pPr>
            <w:r>
              <w:rPr>
                <w:rFonts w:hint="eastAsia" w:ascii="仿宋_GB2312" w:hAnsi="宋体" w:eastAsia="仿宋_GB2312"/>
                <w:sz w:val="24"/>
                <w:szCs w:val="24"/>
              </w:rPr>
              <w:t>区政务服务数据管理局</w:t>
            </w:r>
          </w:p>
          <w:p w14:paraId="13EFC29D">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588B58E4">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C14641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深化容缺审批制度，研究制定区进一步深化投资项目承诺制改革试点方案，推进“容缺办理”双轨机制，办理项目备案时不再要求提交营业执照、法人代表身份证等信息，截至3月底已完成1个项目容缺审批事项。</w:t>
            </w:r>
          </w:p>
        </w:tc>
      </w:tr>
      <w:tr w14:paraId="55BC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543" w:type="dxa"/>
            <w:vAlign w:val="center"/>
          </w:tcPr>
          <w:p w14:paraId="595768DD">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6F1B8B9A">
            <w:pPr>
              <w:spacing w:line="300" w:lineRule="exact"/>
              <w:rPr>
                <w:rFonts w:ascii="仿宋_GB2312" w:hAnsi="宋体" w:eastAsia="仿宋_GB2312"/>
                <w:sz w:val="24"/>
                <w:szCs w:val="24"/>
              </w:rPr>
            </w:pPr>
            <w:r>
              <w:rPr>
                <w:rFonts w:hint="eastAsia" w:ascii="仿宋_GB2312" w:hAnsi="宋体" w:eastAsia="仿宋_GB2312"/>
                <w:sz w:val="24"/>
                <w:szCs w:val="24"/>
              </w:rPr>
              <w:t>深化清单制和委托制改革。</w:t>
            </w:r>
            <w:r>
              <w:rPr>
                <w:rFonts w:hint="eastAsia" w:ascii="仿宋_GB2312" w:hAnsi="宋体" w:eastAsia="仿宋_GB2312"/>
                <w:b/>
                <w:sz w:val="24"/>
                <w:szCs w:val="24"/>
              </w:rPr>
              <w:t>（牵头单位：区政务服务数据管理局）</w:t>
            </w:r>
          </w:p>
        </w:tc>
        <w:tc>
          <w:tcPr>
            <w:tcW w:w="1134" w:type="dxa"/>
            <w:vAlign w:val="center"/>
          </w:tcPr>
          <w:p w14:paraId="18A0BE1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297F02B2">
            <w:pPr>
              <w:spacing w:line="300" w:lineRule="exact"/>
              <w:jc w:val="center"/>
              <w:rPr>
                <w:rFonts w:ascii="仿宋_GB2312" w:hAnsi="宋体" w:eastAsia="仿宋_GB2312"/>
                <w:sz w:val="24"/>
                <w:szCs w:val="24"/>
              </w:rPr>
            </w:pPr>
            <w:r>
              <w:rPr>
                <w:rFonts w:hint="eastAsia" w:ascii="仿宋_GB2312" w:hAnsi="宋体" w:eastAsia="仿宋_GB2312"/>
                <w:sz w:val="24"/>
                <w:szCs w:val="24"/>
              </w:rPr>
              <w:t>区政务服务数据管理局</w:t>
            </w:r>
          </w:p>
          <w:p w14:paraId="6737C649">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区直有关部门</w:t>
            </w:r>
          </w:p>
        </w:tc>
        <w:tc>
          <w:tcPr>
            <w:tcW w:w="7187" w:type="dxa"/>
            <w:vAlign w:val="center"/>
          </w:tcPr>
          <w:p w14:paraId="35AB5923">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1722D6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w:t>
            </w:r>
            <w:r>
              <w:rPr>
                <w:rFonts w:hint="eastAsia" w:ascii="仿宋_GB2312" w:hAnsi="黑体" w:eastAsia="仿宋_GB2312" w:cs="Times New Roman"/>
                <w:b/>
                <w:sz w:val="24"/>
                <w:szCs w:val="24"/>
              </w:rPr>
              <w:t>清单制：</w:t>
            </w:r>
            <w:r>
              <w:rPr>
                <w:rFonts w:hint="eastAsia" w:ascii="仿宋_GB2312" w:hAnsi="黑体" w:eastAsia="仿宋_GB2312" w:cs="Times New Roman"/>
                <w:sz w:val="24"/>
                <w:szCs w:val="24"/>
              </w:rPr>
              <w:t>紧密结合区机构改革相关部门撤并情况，及时动态调整有关部门行政审批事项，更新业务手册和办事指南，充实网上办事大厅相关办理内容。</w:t>
            </w:r>
          </w:p>
          <w:p w14:paraId="5597C2F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w:t>
            </w:r>
            <w:r>
              <w:rPr>
                <w:rFonts w:hint="eastAsia" w:ascii="仿宋_GB2312" w:hAnsi="黑体" w:eastAsia="仿宋_GB2312" w:cs="Times New Roman"/>
                <w:b/>
                <w:sz w:val="24"/>
                <w:szCs w:val="24"/>
              </w:rPr>
              <w:t>委托制：</w:t>
            </w:r>
            <w:r>
              <w:rPr>
                <w:rFonts w:hint="eastAsia" w:ascii="仿宋_GB2312" w:hAnsi="黑体" w:eastAsia="仿宋_GB2312" w:cs="Times New Roman"/>
                <w:sz w:val="24"/>
                <w:szCs w:val="24"/>
              </w:rPr>
              <w:t>进一步跟踪落实市、区、镇（街）三级委托制执行情况，协助有关区直部门提前做好业务专用章替换工作，听取各方对委托制反馈意见。</w:t>
            </w:r>
          </w:p>
        </w:tc>
      </w:tr>
      <w:tr w14:paraId="0820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43" w:type="dxa"/>
            <w:vAlign w:val="center"/>
          </w:tcPr>
          <w:p w14:paraId="40E53A11">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0AB87B94">
            <w:pPr>
              <w:spacing w:line="300" w:lineRule="exact"/>
              <w:rPr>
                <w:rFonts w:ascii="仿宋_GB2312" w:hAnsi="宋体" w:eastAsia="仿宋_GB2312"/>
                <w:sz w:val="24"/>
                <w:szCs w:val="24"/>
              </w:rPr>
            </w:pPr>
            <w:r>
              <w:rPr>
                <w:rFonts w:hint="eastAsia" w:ascii="仿宋_GB2312" w:hAnsi="宋体" w:eastAsia="仿宋_GB2312"/>
                <w:sz w:val="24"/>
                <w:szCs w:val="24"/>
              </w:rPr>
              <w:t>深入推进行政执法体制改革。</w:t>
            </w:r>
            <w:r>
              <w:rPr>
                <w:rFonts w:hint="eastAsia" w:ascii="仿宋_GB2312" w:hAnsi="宋体" w:eastAsia="仿宋_GB2312"/>
                <w:b/>
                <w:sz w:val="24"/>
                <w:szCs w:val="24"/>
              </w:rPr>
              <w:t>（牵头单位：区委编办）</w:t>
            </w:r>
          </w:p>
        </w:tc>
        <w:tc>
          <w:tcPr>
            <w:tcW w:w="1134" w:type="dxa"/>
            <w:vAlign w:val="center"/>
          </w:tcPr>
          <w:p w14:paraId="1C3051C6">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3C1BDF3F">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区委编办</w:t>
            </w:r>
          </w:p>
          <w:p w14:paraId="17372D74">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区直有关部门</w:t>
            </w:r>
          </w:p>
        </w:tc>
        <w:tc>
          <w:tcPr>
            <w:tcW w:w="7187" w:type="dxa"/>
            <w:vAlign w:val="center"/>
          </w:tcPr>
          <w:p w14:paraId="5CF06822">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3B4CD4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根据省、市要求，配合地方机构改革专题组开展摸底工作，填报《综合执法队伍人员编制锁定情况统计表》，做好区综合执法队伍编制情况的统计工作。</w:t>
            </w:r>
          </w:p>
        </w:tc>
      </w:tr>
      <w:tr w14:paraId="0589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543" w:type="dxa"/>
            <w:vAlign w:val="center"/>
          </w:tcPr>
          <w:p w14:paraId="08907A5F">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2A755B8">
            <w:pPr>
              <w:spacing w:line="300" w:lineRule="exact"/>
              <w:rPr>
                <w:rFonts w:ascii="仿宋_GB2312" w:hAnsi="宋体" w:eastAsia="仿宋_GB2312"/>
                <w:sz w:val="24"/>
                <w:szCs w:val="24"/>
              </w:rPr>
            </w:pPr>
            <w:r>
              <w:rPr>
                <w:rFonts w:hint="eastAsia" w:ascii="仿宋_GB2312" w:hAnsi="宋体" w:eastAsia="仿宋_GB2312"/>
                <w:sz w:val="24"/>
                <w:szCs w:val="24"/>
              </w:rPr>
              <w:t>深化投资项目承诺制改革，全年承诺制管理投资项目突破20个，力争5亿元以上工业投资项目实行承诺制。</w:t>
            </w:r>
            <w:r>
              <w:rPr>
                <w:rFonts w:hint="eastAsia" w:ascii="仿宋_GB2312" w:hAnsi="宋体" w:eastAsia="仿宋_GB2312"/>
                <w:b/>
                <w:sz w:val="24"/>
                <w:szCs w:val="24"/>
              </w:rPr>
              <w:t>（牵头单位：区发展和改革局）</w:t>
            </w:r>
          </w:p>
        </w:tc>
        <w:tc>
          <w:tcPr>
            <w:tcW w:w="1134" w:type="dxa"/>
            <w:vAlign w:val="center"/>
          </w:tcPr>
          <w:p w14:paraId="062DEC8B">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430D7405">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5E968141">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5CDA0AC2">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32FDFD73">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115E8F13">
            <w:pPr>
              <w:spacing w:line="300" w:lineRule="exact"/>
              <w:jc w:val="center"/>
              <w:rPr>
                <w:rFonts w:ascii="仿宋_GB2312" w:hAnsi="宋体" w:eastAsia="仿宋_GB2312"/>
                <w:sz w:val="24"/>
                <w:szCs w:val="24"/>
              </w:rPr>
            </w:pPr>
            <w:r>
              <w:rPr>
                <w:rFonts w:hint="eastAsia" w:ascii="仿宋_GB2312" w:hAnsi="宋体" w:eastAsia="仿宋_GB2312"/>
                <w:sz w:val="24"/>
                <w:szCs w:val="24"/>
              </w:rPr>
              <w:t>区卫生健康局</w:t>
            </w:r>
          </w:p>
          <w:p w14:paraId="0B1398F2">
            <w:pPr>
              <w:spacing w:line="300" w:lineRule="exact"/>
              <w:jc w:val="center"/>
              <w:rPr>
                <w:rFonts w:ascii="仿宋_GB2312" w:hAnsi="宋体" w:eastAsia="仿宋_GB2312"/>
                <w:sz w:val="24"/>
                <w:szCs w:val="24"/>
              </w:rPr>
            </w:pPr>
            <w:r>
              <w:rPr>
                <w:rFonts w:hint="eastAsia" w:ascii="仿宋_GB2312" w:hAnsi="宋体" w:eastAsia="仿宋_GB2312"/>
                <w:sz w:val="24"/>
                <w:szCs w:val="24"/>
              </w:rPr>
              <w:t>区应急管理局</w:t>
            </w:r>
          </w:p>
          <w:p w14:paraId="0AD02765">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7BAF21B8">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57871F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深入推进承诺制改革，研究制定区进一步深化投资项目承诺制改革试点方案，将进行第三次征求意见，争取于4月底前印发，加大改革推进力度；跟踪服务2019年新立项、总投资5亿元以上工业项目，积极宣传承诺制政策措施，争取更多符合条件的项目参与改革，已有4个项目的审批事项采用承诺制模式管理，其中5亿元以上工业项目1个。</w:t>
            </w:r>
          </w:p>
        </w:tc>
      </w:tr>
      <w:tr w14:paraId="39EA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543" w:type="dxa"/>
            <w:vAlign w:val="center"/>
          </w:tcPr>
          <w:p w14:paraId="44E5547A">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0FB99464">
            <w:pPr>
              <w:spacing w:line="300" w:lineRule="exact"/>
              <w:rPr>
                <w:rFonts w:ascii="仿宋_GB2312" w:hAnsi="宋体" w:eastAsia="仿宋_GB2312"/>
                <w:sz w:val="24"/>
                <w:szCs w:val="24"/>
              </w:rPr>
            </w:pPr>
            <w:r>
              <w:rPr>
                <w:rFonts w:hint="eastAsia" w:ascii="仿宋_GB2312" w:hAnsi="宋体" w:eastAsia="仿宋_GB2312"/>
                <w:sz w:val="24"/>
                <w:szCs w:val="24"/>
              </w:rPr>
              <w:t>深化一门式改革，深化审批服务改革，推进省、市、区三级系统融合互通，进一步拓展“十分钟便企便民服务圈”，实现全区90%以上行政审批和公共服务事项进驻一门式办理。</w:t>
            </w:r>
            <w:r>
              <w:rPr>
                <w:rFonts w:hint="eastAsia" w:ascii="仿宋_GB2312" w:hAnsi="宋体" w:eastAsia="仿宋_GB2312"/>
                <w:b/>
                <w:sz w:val="24"/>
                <w:szCs w:val="24"/>
              </w:rPr>
              <w:t>（牵头单位：区政务服务数据管理局）</w:t>
            </w:r>
          </w:p>
        </w:tc>
        <w:tc>
          <w:tcPr>
            <w:tcW w:w="1134" w:type="dxa"/>
            <w:vAlign w:val="center"/>
          </w:tcPr>
          <w:p w14:paraId="33088DAB">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5B145DB9">
            <w:pPr>
              <w:spacing w:line="300" w:lineRule="exact"/>
              <w:jc w:val="center"/>
              <w:rPr>
                <w:rFonts w:ascii="仿宋_GB2312" w:hAnsi="宋体" w:eastAsia="仿宋_GB2312"/>
                <w:sz w:val="24"/>
                <w:szCs w:val="24"/>
              </w:rPr>
            </w:pPr>
            <w:r>
              <w:rPr>
                <w:rFonts w:hint="eastAsia" w:ascii="仿宋_GB2312" w:hAnsi="宋体" w:eastAsia="仿宋_GB2312"/>
                <w:sz w:val="24"/>
                <w:szCs w:val="24"/>
              </w:rPr>
              <w:t>区政务服务数据管理局</w:t>
            </w:r>
          </w:p>
          <w:p w14:paraId="36F038C5">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区直各部门</w:t>
            </w:r>
          </w:p>
        </w:tc>
        <w:tc>
          <w:tcPr>
            <w:tcW w:w="7187" w:type="dxa"/>
            <w:vAlign w:val="center"/>
          </w:tcPr>
          <w:p w14:paraId="57F3071E">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5F6FA8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1.按照上级部门要求，已组织区职能部门通过广东省政务服务事项标准化梳理系统对区行政权力事项和公共服务事项进行事项梳理，共梳理出5428项政务服务事项。</w:t>
            </w:r>
          </w:p>
          <w:p w14:paraId="56F8CCD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2.区共有19个部门787项法人业务（含1个市直部门4项服务事项）进驻法人“一门式”办理；共有16个部门339项业务进驻自然人“一门式”办理。</w:t>
            </w:r>
          </w:p>
        </w:tc>
      </w:tr>
      <w:tr w14:paraId="42E0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543" w:type="dxa"/>
            <w:vAlign w:val="center"/>
          </w:tcPr>
          <w:p w14:paraId="4A19CF9A">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FF2934A">
            <w:pPr>
              <w:spacing w:line="300" w:lineRule="exact"/>
              <w:rPr>
                <w:rFonts w:ascii="仿宋_GB2312" w:hAnsi="宋体" w:eastAsia="仿宋_GB2312"/>
                <w:sz w:val="24"/>
                <w:szCs w:val="24"/>
              </w:rPr>
            </w:pPr>
            <w:r>
              <w:rPr>
                <w:rFonts w:hint="eastAsia" w:ascii="仿宋_GB2312" w:hAnsi="宋体" w:eastAsia="仿宋_GB2312"/>
                <w:sz w:val="24"/>
                <w:szCs w:val="24"/>
              </w:rPr>
              <w:t>强化企业创新主体地位，力争规上工业企业设立研发机构比例超60%，国家级高新技术企业总数超330家，新增科技型小微企业80家，新增省市工程技术研究中心30个。</w:t>
            </w:r>
            <w:r>
              <w:rPr>
                <w:rFonts w:hint="eastAsia" w:ascii="仿宋_GB2312" w:hAnsi="宋体" w:eastAsia="仿宋_GB2312"/>
                <w:b/>
                <w:sz w:val="24"/>
                <w:szCs w:val="24"/>
              </w:rPr>
              <w:t>（牵头单位：区科工商务局）</w:t>
            </w:r>
          </w:p>
        </w:tc>
        <w:tc>
          <w:tcPr>
            <w:tcW w:w="1134" w:type="dxa"/>
            <w:vAlign w:val="center"/>
          </w:tcPr>
          <w:p w14:paraId="0756D1C0">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09A5B945">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5EA402C7">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43B8E560">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2F03DD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1.通过走访调研区内省工程中心建设单位，了解企业研发建设情况，开展科技政策宣传和业务指导工作。</w:t>
            </w:r>
          </w:p>
          <w:p w14:paraId="0E7ACBF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2.积极联动各镇、街，下达高新技术企业认定任务指标，做好申报认定准备工作。</w:t>
            </w:r>
          </w:p>
          <w:p w14:paraId="60DE710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3.做好科技企业调研工作，针对重点企业进行走访指导，准备组织申报高新技术企业认定。</w:t>
            </w:r>
          </w:p>
        </w:tc>
      </w:tr>
      <w:tr w14:paraId="3F61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543" w:type="dxa"/>
            <w:vAlign w:val="center"/>
          </w:tcPr>
          <w:p w14:paraId="656E2E59">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A267D37">
            <w:pPr>
              <w:spacing w:line="300" w:lineRule="exact"/>
              <w:rPr>
                <w:rFonts w:ascii="仿宋_GB2312" w:hAnsi="宋体" w:eastAsia="仿宋_GB2312"/>
                <w:sz w:val="24"/>
                <w:szCs w:val="24"/>
              </w:rPr>
            </w:pPr>
            <w:r>
              <w:rPr>
                <w:rFonts w:hint="eastAsia" w:ascii="仿宋_GB2312" w:hAnsi="宋体" w:eastAsia="仿宋_GB2312"/>
                <w:sz w:val="24"/>
                <w:szCs w:val="24"/>
              </w:rPr>
              <w:t>对接广深科技创新走廊，力争省市新型研发机构达10家，院士工作站达4家。</w:t>
            </w:r>
            <w:r>
              <w:rPr>
                <w:rFonts w:hint="eastAsia" w:ascii="仿宋_GB2312" w:hAnsi="宋体" w:eastAsia="仿宋_GB2312"/>
                <w:b/>
                <w:sz w:val="24"/>
                <w:szCs w:val="24"/>
              </w:rPr>
              <w:t>（牵头单位：区科工商务局）</w:t>
            </w:r>
          </w:p>
        </w:tc>
        <w:tc>
          <w:tcPr>
            <w:tcW w:w="1134" w:type="dxa"/>
            <w:vAlign w:val="center"/>
          </w:tcPr>
          <w:p w14:paraId="4663397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6BA0D6C1">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2BC0D84D">
            <w:pPr>
              <w:spacing w:line="300" w:lineRule="exact"/>
              <w:jc w:val="center"/>
              <w:rPr>
                <w:rFonts w:ascii="仿宋_GB2312" w:hAnsi="宋体" w:eastAsia="仿宋_GB2312"/>
                <w:sz w:val="24"/>
                <w:szCs w:val="24"/>
              </w:rPr>
            </w:pPr>
            <w:r>
              <w:rPr>
                <w:rFonts w:hint="eastAsia" w:ascii="仿宋_GB2312" w:hAnsi="宋体" w:eastAsia="仿宋_GB2312"/>
                <w:sz w:val="24"/>
                <w:szCs w:val="24"/>
              </w:rPr>
              <w:t>区人力资源和社会保障局</w:t>
            </w:r>
          </w:p>
          <w:p w14:paraId="28512472">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42D5BE44">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4782E6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1.已开展企业走访工作，积极进行政策宣贯，了解企业需求，引导企业开展高层次人才合作。</w:t>
            </w:r>
          </w:p>
          <w:p w14:paraId="12E1CF6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2.正密切跟踪汇海院士工作站开展情况。</w:t>
            </w:r>
          </w:p>
          <w:p w14:paraId="7830157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3.正针对重点科研机构开展调研，加强科技研发活动指导工作。</w:t>
            </w:r>
          </w:p>
        </w:tc>
      </w:tr>
      <w:tr w14:paraId="2A1B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543" w:type="dxa"/>
            <w:vAlign w:val="center"/>
          </w:tcPr>
          <w:p w14:paraId="774D69D1">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FEF8E3E">
            <w:pPr>
              <w:spacing w:line="300" w:lineRule="exact"/>
              <w:rPr>
                <w:rFonts w:ascii="仿宋_GB2312" w:hAnsi="宋体" w:eastAsia="仿宋_GB2312"/>
                <w:sz w:val="24"/>
                <w:szCs w:val="24"/>
              </w:rPr>
            </w:pPr>
            <w:r>
              <w:rPr>
                <w:rFonts w:hint="eastAsia" w:ascii="仿宋_GB2312" w:hAnsi="宋体" w:eastAsia="仿宋_GB2312"/>
                <w:sz w:val="24"/>
                <w:szCs w:val="24"/>
              </w:rPr>
              <w:t>做强做优创新平台体系，充分激发激光清洗院士工作站等平台的创新活力。</w:t>
            </w:r>
            <w:r>
              <w:rPr>
                <w:rFonts w:hint="eastAsia" w:ascii="仿宋_GB2312" w:hAnsi="宋体" w:eastAsia="仿宋_GB2312"/>
                <w:b/>
                <w:sz w:val="24"/>
                <w:szCs w:val="24"/>
              </w:rPr>
              <w:t>（牵头单位：区科工商务局）</w:t>
            </w:r>
          </w:p>
        </w:tc>
        <w:tc>
          <w:tcPr>
            <w:tcW w:w="1134" w:type="dxa"/>
            <w:vAlign w:val="center"/>
          </w:tcPr>
          <w:p w14:paraId="06E5DD60">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24419B8B">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6E7F02AF">
            <w:pPr>
              <w:spacing w:line="300" w:lineRule="exact"/>
              <w:jc w:val="center"/>
              <w:rPr>
                <w:rFonts w:ascii="仿宋_GB2312" w:hAnsi="宋体" w:eastAsia="仿宋_GB2312"/>
                <w:sz w:val="24"/>
                <w:szCs w:val="24"/>
              </w:rPr>
            </w:pPr>
            <w:r>
              <w:rPr>
                <w:rFonts w:hint="eastAsia" w:ascii="仿宋_GB2312" w:hAnsi="宋体" w:eastAsia="仿宋_GB2312"/>
                <w:sz w:val="24"/>
                <w:szCs w:val="24"/>
              </w:rPr>
              <w:t>区国有资产监督管理局</w:t>
            </w:r>
          </w:p>
          <w:p w14:paraId="3C3A1A7F">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449E2697">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1309A6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1.继续跟踪、调研海目星公司、珠西智能激光研究院等创新平台的运营情况，指导其继续开展科技创新活动并提供科技业务、政策指导。</w:t>
            </w:r>
          </w:p>
          <w:p w14:paraId="7A230EB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2.已开展市级重大科技创新平台资金申报工作。</w:t>
            </w:r>
          </w:p>
        </w:tc>
      </w:tr>
      <w:tr w14:paraId="7680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543" w:type="dxa"/>
            <w:vAlign w:val="center"/>
          </w:tcPr>
          <w:p w14:paraId="4704DB2F">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7F6539D">
            <w:pPr>
              <w:spacing w:line="300" w:lineRule="exact"/>
              <w:rPr>
                <w:rFonts w:ascii="仿宋_GB2312" w:hAnsi="宋体" w:eastAsia="仿宋_GB2312"/>
                <w:sz w:val="24"/>
                <w:szCs w:val="24"/>
              </w:rPr>
            </w:pPr>
            <w:r>
              <w:rPr>
                <w:rFonts w:hint="eastAsia" w:ascii="仿宋_GB2312" w:hAnsi="宋体" w:eastAsia="仿宋_GB2312"/>
                <w:sz w:val="24"/>
                <w:szCs w:val="24"/>
              </w:rPr>
              <w:t>营造良好创新生态圈，强化知识产权保护和运用，加大科技贴息贷款、知识产权质押融资扶持力度，健全产学研一体化创新机制。</w:t>
            </w:r>
            <w:r>
              <w:rPr>
                <w:rFonts w:hint="eastAsia" w:ascii="仿宋_GB2312" w:hAnsi="宋体" w:eastAsia="仿宋_GB2312"/>
                <w:b/>
                <w:sz w:val="24"/>
                <w:szCs w:val="24"/>
              </w:rPr>
              <w:t>（牵头单位：区市场监管局）</w:t>
            </w:r>
          </w:p>
        </w:tc>
        <w:tc>
          <w:tcPr>
            <w:tcW w:w="1134" w:type="dxa"/>
            <w:vAlign w:val="center"/>
          </w:tcPr>
          <w:p w14:paraId="672750C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47950FAB">
            <w:pPr>
              <w:spacing w:line="300" w:lineRule="exact"/>
              <w:jc w:val="center"/>
              <w:rPr>
                <w:rFonts w:ascii="仿宋_GB2312" w:hAnsi="宋体" w:eastAsia="仿宋_GB2312"/>
                <w:sz w:val="24"/>
                <w:szCs w:val="24"/>
              </w:rPr>
            </w:pPr>
            <w:r>
              <w:rPr>
                <w:rFonts w:hint="eastAsia" w:ascii="仿宋_GB2312" w:hAnsi="宋体" w:eastAsia="仿宋_GB2312"/>
                <w:sz w:val="24"/>
                <w:szCs w:val="24"/>
              </w:rPr>
              <w:t>区市场监管局</w:t>
            </w:r>
          </w:p>
          <w:p w14:paraId="4A825176">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tc>
        <w:tc>
          <w:tcPr>
            <w:tcW w:w="7187" w:type="dxa"/>
            <w:vAlign w:val="center"/>
          </w:tcPr>
          <w:p w14:paraId="7E531BF4">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2F8B52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1.认真贯彻落实上级部门的政策措施，积极实施知识产权发展战略和专利质量提升工程。</w:t>
            </w:r>
          </w:p>
          <w:p w14:paraId="5852420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2.做好科技贴息贷款、知识产权质押融资的政策宣传。</w:t>
            </w:r>
          </w:p>
          <w:p w14:paraId="6B35173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3.积极与高校沟通交流，开展产学研合作相关工作。</w:t>
            </w:r>
          </w:p>
        </w:tc>
      </w:tr>
      <w:tr w14:paraId="5D7A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543" w:type="dxa"/>
            <w:vAlign w:val="center"/>
          </w:tcPr>
          <w:p w14:paraId="49C0091D">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5DE77238">
            <w:pPr>
              <w:spacing w:line="300" w:lineRule="exact"/>
              <w:rPr>
                <w:rFonts w:ascii="仿宋_GB2312" w:hAnsi="宋体" w:eastAsia="仿宋_GB2312"/>
                <w:sz w:val="24"/>
                <w:szCs w:val="24"/>
              </w:rPr>
            </w:pPr>
            <w:r>
              <w:rPr>
                <w:rFonts w:hint="eastAsia" w:ascii="仿宋_GB2312" w:hAnsi="宋体" w:eastAsia="仿宋_GB2312"/>
                <w:sz w:val="24"/>
                <w:szCs w:val="24"/>
              </w:rPr>
              <w:t>着力构建孵化育成体系，全面落实珠三角（江门）国家自主创新示范区建设工作。</w:t>
            </w:r>
            <w:r>
              <w:rPr>
                <w:rFonts w:hint="eastAsia" w:ascii="仿宋_GB2312" w:hAnsi="宋体" w:eastAsia="仿宋_GB2312"/>
                <w:b/>
                <w:sz w:val="24"/>
                <w:szCs w:val="24"/>
              </w:rPr>
              <w:t>（牵头单位：区科工商务局）</w:t>
            </w:r>
          </w:p>
        </w:tc>
        <w:tc>
          <w:tcPr>
            <w:tcW w:w="1134" w:type="dxa"/>
            <w:vAlign w:val="center"/>
          </w:tcPr>
          <w:p w14:paraId="34AFDA7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755481E1">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4AF9FD47">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3AD729D1">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099973FB">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3A30BF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已开展前期调研工作，多方面了解区内镇、街，特别是白沙街道等老城区的闲置土地、厂房等资源，引导民营企业对闲置资源进行再整合。</w:t>
            </w:r>
          </w:p>
        </w:tc>
      </w:tr>
      <w:tr w14:paraId="04DA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543" w:type="dxa"/>
            <w:vAlign w:val="center"/>
          </w:tcPr>
          <w:p w14:paraId="04036683">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A93E3B9">
            <w:pPr>
              <w:spacing w:line="300" w:lineRule="exact"/>
              <w:rPr>
                <w:rFonts w:ascii="仿宋_GB2312" w:hAnsi="宋体" w:eastAsia="仿宋_GB2312"/>
                <w:sz w:val="24"/>
                <w:szCs w:val="24"/>
              </w:rPr>
            </w:pPr>
            <w:r>
              <w:rPr>
                <w:rFonts w:hint="eastAsia" w:ascii="仿宋_GB2312" w:hAnsi="宋体" w:eastAsia="仿宋_GB2312"/>
                <w:sz w:val="24"/>
                <w:szCs w:val="24"/>
              </w:rPr>
              <w:t>紧抓招商引资经济生命线，力争引进超20亿元、超10亿元项目各1个，超5亿元项目3个，超亿元项目8个。</w:t>
            </w:r>
            <w:r>
              <w:rPr>
                <w:rFonts w:hint="eastAsia" w:ascii="仿宋_GB2312" w:hAnsi="宋体" w:eastAsia="仿宋_GB2312"/>
                <w:b/>
                <w:sz w:val="24"/>
                <w:szCs w:val="24"/>
              </w:rPr>
              <w:t>（牵头单位：区科工商务局）</w:t>
            </w:r>
          </w:p>
        </w:tc>
        <w:tc>
          <w:tcPr>
            <w:tcW w:w="1134" w:type="dxa"/>
            <w:vAlign w:val="center"/>
          </w:tcPr>
          <w:p w14:paraId="7E1EFB8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0E71B77F">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40ECA3B6">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p w14:paraId="559150AA">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7BA3C661">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1E9287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已引入超5亿元项目1个，超亿元项目2个。</w:t>
            </w:r>
          </w:p>
        </w:tc>
      </w:tr>
      <w:tr w14:paraId="46DD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543" w:type="dxa"/>
            <w:vAlign w:val="center"/>
          </w:tcPr>
          <w:p w14:paraId="5B02B8D6">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567F1019">
            <w:pPr>
              <w:spacing w:line="300" w:lineRule="exact"/>
              <w:rPr>
                <w:rFonts w:ascii="仿宋_GB2312" w:hAnsi="宋体" w:eastAsia="仿宋_GB2312"/>
                <w:sz w:val="24"/>
                <w:szCs w:val="24"/>
              </w:rPr>
            </w:pPr>
            <w:r>
              <w:rPr>
                <w:rFonts w:hint="eastAsia" w:ascii="仿宋_GB2312" w:hAnsi="宋体" w:eastAsia="仿宋_GB2312"/>
                <w:sz w:val="24"/>
                <w:szCs w:val="24"/>
              </w:rPr>
              <w:t>针对智能装备、人工智能等新兴产业开展重点招商，依托江门蓬江产业转移工业园，引进集总部、科研、高端制造于一体的“园中园”项目和优质智能制造项目。</w:t>
            </w:r>
            <w:r>
              <w:rPr>
                <w:rFonts w:hint="eastAsia" w:ascii="仿宋_GB2312" w:hAnsi="宋体" w:eastAsia="仿宋_GB2312"/>
                <w:b/>
                <w:sz w:val="24"/>
                <w:szCs w:val="24"/>
              </w:rPr>
              <w:t>（牵头单位：区科工商务局）</w:t>
            </w:r>
          </w:p>
        </w:tc>
        <w:tc>
          <w:tcPr>
            <w:tcW w:w="1134" w:type="dxa"/>
            <w:vAlign w:val="center"/>
          </w:tcPr>
          <w:p w14:paraId="63BB4C61">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65AC0D4B">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720D26D9">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19836B49">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09600719">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p w14:paraId="2A5C3286">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09E5FC0C">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39A922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已对接收集高盛集团“园中园”项目、联东集团“园中园”项目线索。</w:t>
            </w:r>
          </w:p>
        </w:tc>
      </w:tr>
      <w:tr w14:paraId="54DC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543" w:type="dxa"/>
            <w:vAlign w:val="center"/>
          </w:tcPr>
          <w:p w14:paraId="2A76A9DD">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DD671ED">
            <w:pPr>
              <w:spacing w:line="300" w:lineRule="exact"/>
              <w:rPr>
                <w:rFonts w:ascii="仿宋_GB2312" w:hAnsi="宋体" w:eastAsia="仿宋_GB2312"/>
                <w:sz w:val="24"/>
                <w:szCs w:val="24"/>
              </w:rPr>
            </w:pPr>
            <w:r>
              <w:rPr>
                <w:rFonts w:hint="eastAsia" w:ascii="仿宋_GB2312" w:hAnsi="宋体" w:eastAsia="仿宋_GB2312"/>
                <w:sz w:val="24"/>
                <w:szCs w:val="24"/>
              </w:rPr>
              <w:t>积极探索“零地招商”模式，对低效载体开展“工改工”“工改商”，引进优质企业进行片区开发和运营，促进产城融合发展。整合现有招商平台，建立激励机制，力争产业招商取得新突破。</w:t>
            </w:r>
            <w:r>
              <w:rPr>
                <w:rFonts w:hint="eastAsia" w:ascii="仿宋_GB2312" w:hAnsi="宋体" w:eastAsia="仿宋_GB2312"/>
                <w:b/>
                <w:sz w:val="24"/>
                <w:szCs w:val="24"/>
              </w:rPr>
              <w:t>（牵头单位：区科工商务局）</w:t>
            </w:r>
          </w:p>
        </w:tc>
        <w:tc>
          <w:tcPr>
            <w:tcW w:w="1134" w:type="dxa"/>
            <w:vAlign w:val="center"/>
          </w:tcPr>
          <w:p w14:paraId="56992FBC">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张文新</w:t>
            </w:r>
          </w:p>
        </w:tc>
        <w:tc>
          <w:tcPr>
            <w:tcW w:w="3119" w:type="dxa"/>
            <w:vAlign w:val="center"/>
          </w:tcPr>
          <w:p w14:paraId="68FC65DD">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75D0DAA1">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153D990E">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4213A5E8">
            <w:pPr>
              <w:spacing w:line="300" w:lineRule="exact"/>
              <w:jc w:val="center"/>
              <w:rPr>
                <w:rFonts w:ascii="仿宋_GB2312" w:hAnsi="宋体" w:eastAsia="仿宋_GB2312"/>
                <w:sz w:val="24"/>
                <w:szCs w:val="24"/>
              </w:rPr>
            </w:pPr>
            <w:r>
              <w:rPr>
                <w:rFonts w:hint="eastAsia" w:ascii="仿宋_GB2312" w:hAnsi="宋体" w:eastAsia="仿宋_GB2312"/>
                <w:sz w:val="24"/>
                <w:szCs w:val="24"/>
              </w:rPr>
              <w:t>区国有资产监督管理局</w:t>
            </w:r>
          </w:p>
          <w:p w14:paraId="6499C75C">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1EB95C8B">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5D9043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1.已完区载体资源的摸底工作。</w:t>
            </w:r>
          </w:p>
          <w:p w14:paraId="1A35429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2.已与高盛集团、国瑞地产、联东集团等优质企业进行对接。</w:t>
            </w:r>
          </w:p>
        </w:tc>
      </w:tr>
      <w:tr w14:paraId="25C6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543" w:type="dxa"/>
            <w:vAlign w:val="center"/>
          </w:tcPr>
          <w:p w14:paraId="772D940B">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0A896FFC">
            <w:pPr>
              <w:spacing w:line="300" w:lineRule="exact"/>
              <w:rPr>
                <w:rFonts w:ascii="仿宋_GB2312" w:hAnsi="宋体" w:eastAsia="仿宋_GB2312"/>
                <w:sz w:val="24"/>
                <w:szCs w:val="24"/>
              </w:rPr>
            </w:pPr>
            <w:r>
              <w:rPr>
                <w:rFonts w:hint="eastAsia" w:ascii="仿宋_GB2312" w:hAnsi="宋体" w:eastAsia="仿宋_GB2312"/>
                <w:sz w:val="24"/>
                <w:szCs w:val="24"/>
              </w:rPr>
              <w:t>深化人才引育，引进紧缺、适用的博硕人才，继续推进江门人力资源服务产业园各项工作，打造“蓬江人才服务”品牌。</w:t>
            </w:r>
            <w:r>
              <w:rPr>
                <w:rFonts w:hint="eastAsia" w:ascii="仿宋_GB2312" w:hAnsi="宋体" w:eastAsia="仿宋_GB2312"/>
                <w:b/>
                <w:sz w:val="24"/>
                <w:szCs w:val="24"/>
              </w:rPr>
              <w:t>（牵头单位：区委组织部）</w:t>
            </w:r>
          </w:p>
        </w:tc>
        <w:tc>
          <w:tcPr>
            <w:tcW w:w="1134" w:type="dxa"/>
            <w:vAlign w:val="center"/>
          </w:tcPr>
          <w:p w14:paraId="5E8B0F91">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6D43A0A8">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105A6323">
            <w:pPr>
              <w:spacing w:line="300" w:lineRule="exact"/>
              <w:jc w:val="center"/>
              <w:rPr>
                <w:rFonts w:ascii="仿宋_GB2312" w:hAnsi="宋体" w:eastAsia="仿宋_GB2312"/>
                <w:sz w:val="24"/>
                <w:szCs w:val="24"/>
              </w:rPr>
            </w:pPr>
            <w:r>
              <w:rPr>
                <w:rFonts w:hint="eastAsia" w:ascii="仿宋_GB2312" w:hAnsi="宋体" w:eastAsia="仿宋_GB2312"/>
                <w:sz w:val="24"/>
                <w:szCs w:val="24"/>
              </w:rPr>
              <w:t>区人力资源社会保障局</w:t>
            </w:r>
          </w:p>
          <w:p w14:paraId="444478BB">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39ED4DE9">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114BBD5D">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D76AA3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深化人才引育，继续做好乡村振兴博硕人才引育工程相关工作，持续推进江门人力资源服务产业园各项工作。</w:t>
            </w:r>
          </w:p>
        </w:tc>
      </w:tr>
      <w:tr w14:paraId="2D3B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543" w:type="dxa"/>
            <w:vAlign w:val="center"/>
          </w:tcPr>
          <w:p w14:paraId="22768EB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AB725DA">
            <w:pPr>
              <w:spacing w:line="300" w:lineRule="exact"/>
              <w:rPr>
                <w:rFonts w:ascii="仿宋_GB2312" w:hAnsi="宋体" w:eastAsia="仿宋_GB2312"/>
                <w:sz w:val="24"/>
                <w:szCs w:val="24"/>
              </w:rPr>
            </w:pPr>
            <w:r>
              <w:rPr>
                <w:rFonts w:hint="eastAsia" w:ascii="仿宋_GB2312" w:hAnsi="宋体" w:eastAsia="仿宋_GB2312"/>
                <w:sz w:val="24"/>
                <w:szCs w:val="24"/>
              </w:rPr>
              <w:t>持续完善人才落户、住房、子女入学、医疗保障、养老等配套，推进各项人才政策落地生效。</w:t>
            </w:r>
            <w:r>
              <w:rPr>
                <w:rFonts w:hint="eastAsia" w:ascii="仿宋_GB2312" w:hAnsi="宋体" w:eastAsia="仿宋_GB2312"/>
                <w:b/>
                <w:sz w:val="24"/>
                <w:szCs w:val="24"/>
              </w:rPr>
              <w:t>（牵头单位：区委组织部）</w:t>
            </w:r>
          </w:p>
        </w:tc>
        <w:tc>
          <w:tcPr>
            <w:tcW w:w="1134" w:type="dxa"/>
            <w:vAlign w:val="center"/>
          </w:tcPr>
          <w:p w14:paraId="37CF1E50">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2000FE11">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5C2EECAB">
            <w:pPr>
              <w:spacing w:line="300" w:lineRule="exact"/>
              <w:jc w:val="center"/>
              <w:rPr>
                <w:rFonts w:ascii="仿宋_GB2312" w:hAnsi="宋体" w:eastAsia="仿宋_GB2312"/>
                <w:sz w:val="24"/>
                <w:szCs w:val="24"/>
              </w:rPr>
            </w:pPr>
            <w:r>
              <w:rPr>
                <w:rFonts w:hint="eastAsia" w:ascii="仿宋_GB2312" w:hAnsi="宋体" w:eastAsia="仿宋_GB2312"/>
                <w:sz w:val="24"/>
                <w:szCs w:val="24"/>
              </w:rPr>
              <w:t>区人力资源社会保障局</w:t>
            </w:r>
          </w:p>
          <w:p w14:paraId="061D377E">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3C340D88">
            <w:pPr>
              <w:spacing w:line="300" w:lineRule="exact"/>
              <w:jc w:val="center"/>
              <w:rPr>
                <w:rFonts w:ascii="仿宋_GB2312" w:hAnsi="宋体" w:eastAsia="仿宋_GB2312"/>
                <w:sz w:val="24"/>
                <w:szCs w:val="24"/>
              </w:rPr>
            </w:pPr>
            <w:r>
              <w:rPr>
                <w:rFonts w:hint="eastAsia" w:ascii="仿宋_GB2312" w:hAnsi="宋体" w:eastAsia="仿宋_GB2312"/>
                <w:sz w:val="24"/>
                <w:szCs w:val="24"/>
              </w:rPr>
              <w:t>区教育局</w:t>
            </w:r>
          </w:p>
          <w:p w14:paraId="48F71CE4">
            <w:pPr>
              <w:spacing w:line="300" w:lineRule="exact"/>
              <w:jc w:val="center"/>
              <w:rPr>
                <w:rFonts w:ascii="仿宋_GB2312" w:hAnsi="宋体" w:eastAsia="仿宋_GB2312"/>
                <w:sz w:val="24"/>
                <w:szCs w:val="24"/>
              </w:rPr>
            </w:pPr>
            <w:r>
              <w:rPr>
                <w:rFonts w:hint="eastAsia" w:ascii="仿宋_GB2312" w:hAnsi="宋体" w:eastAsia="仿宋_GB2312"/>
                <w:sz w:val="24"/>
                <w:szCs w:val="24"/>
              </w:rPr>
              <w:t>区卫生健康局</w:t>
            </w:r>
          </w:p>
          <w:p w14:paraId="2102D115">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510A37FB">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A725A3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1.结合区人才工作实际，贯彻落实《关于进一步集聚新时代人才建设人才强市的意见》（江府〔2019〕12号），并研究起草具体实施意见和江门人才岛专属政策。</w:t>
            </w:r>
          </w:p>
          <w:p w14:paraId="2C0D93F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2.抓好各项人才政策落地生效，做好人才服务工作，多形式举办人才交流活动。</w:t>
            </w:r>
          </w:p>
        </w:tc>
      </w:tr>
      <w:tr w14:paraId="043E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43" w:type="dxa"/>
            <w:vMerge w:val="restart"/>
            <w:vAlign w:val="center"/>
          </w:tcPr>
          <w:p w14:paraId="2977E93D">
            <w:pPr>
              <w:numPr>
                <w:ilvl w:val="0"/>
                <w:numId w:val="2"/>
              </w:numPr>
              <w:spacing w:line="300" w:lineRule="exact"/>
              <w:jc w:val="center"/>
              <w:rPr>
                <w:rFonts w:ascii="仿宋_GB2312" w:hAnsi="黑体" w:eastAsia="仿宋_GB2312" w:cs="仿宋_GB2312"/>
                <w:sz w:val="24"/>
                <w:szCs w:val="24"/>
              </w:rPr>
            </w:pPr>
          </w:p>
        </w:tc>
        <w:tc>
          <w:tcPr>
            <w:tcW w:w="3415" w:type="dxa"/>
            <w:gridSpan w:val="3"/>
            <w:vMerge w:val="restart"/>
            <w:vAlign w:val="center"/>
          </w:tcPr>
          <w:p w14:paraId="34D22266">
            <w:pPr>
              <w:spacing w:line="300" w:lineRule="exact"/>
              <w:rPr>
                <w:rFonts w:ascii="仿宋_GB2312" w:hAnsi="宋体" w:eastAsia="仿宋_GB2312"/>
                <w:sz w:val="24"/>
                <w:szCs w:val="24"/>
                <w:highlight w:val="yellow"/>
              </w:rPr>
            </w:pPr>
            <w:r>
              <w:rPr>
                <w:rFonts w:hint="eastAsia" w:ascii="仿宋_GB2312" w:hAnsi="宋体" w:eastAsia="仿宋_GB2312"/>
                <w:sz w:val="24"/>
                <w:szCs w:val="24"/>
              </w:rPr>
              <w:t>打造蓬江城市中央活动区，用“绣花功夫”提升生活环境，参与共建粤港澳大湾区优质生活圈。</w:t>
            </w:r>
            <w:r>
              <w:rPr>
                <w:rFonts w:hint="eastAsia" w:ascii="仿宋_GB2312" w:hAnsi="宋体" w:eastAsia="仿宋_GB2312"/>
                <w:b/>
                <w:sz w:val="24"/>
                <w:szCs w:val="24"/>
              </w:rPr>
              <w:t>（牵头单位：区住房城乡建设局）</w:t>
            </w:r>
          </w:p>
        </w:tc>
        <w:tc>
          <w:tcPr>
            <w:tcW w:w="1134" w:type="dxa"/>
            <w:vMerge w:val="restart"/>
            <w:vAlign w:val="center"/>
          </w:tcPr>
          <w:p w14:paraId="103FD73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Align w:val="center"/>
          </w:tcPr>
          <w:p w14:paraId="699E7476">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tc>
        <w:tc>
          <w:tcPr>
            <w:tcW w:w="7187" w:type="dxa"/>
            <w:vMerge w:val="restart"/>
            <w:vAlign w:val="center"/>
          </w:tcPr>
          <w:p w14:paraId="0920A46B">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3CF493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1.院士路、迎宾大道的道路亮化提升项目已完成前期筹备工作；已于春节前投入390万元完成万达广场前花卉绿化景观项目。</w:t>
            </w:r>
          </w:p>
          <w:p w14:paraId="00CDDA3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2.区城心轴线道路品质提升工程已完成施工图，正按计划施工；已完成发展大道北侧、华侨广场、广场环路（内环）人行道、非机动车道及绿化改造。正在进行广场环路（外环）人行道、非机动车道及绿化改造。</w:t>
            </w:r>
          </w:p>
          <w:p w14:paraId="4A597AC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3.院士路萃锦园花圃改造项目已立项，目前在环市街财政审核预算阶段。</w:t>
            </w:r>
          </w:p>
        </w:tc>
      </w:tr>
      <w:tr w14:paraId="366F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43" w:type="dxa"/>
            <w:vMerge w:val="continue"/>
            <w:vAlign w:val="center"/>
          </w:tcPr>
          <w:p w14:paraId="6F00CE3E">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4911E259">
            <w:pPr>
              <w:spacing w:line="300" w:lineRule="exact"/>
              <w:rPr>
                <w:rFonts w:ascii="仿宋_GB2312" w:hAnsi="宋体" w:eastAsia="仿宋_GB2312"/>
                <w:sz w:val="24"/>
                <w:szCs w:val="24"/>
                <w:highlight w:val="yellow"/>
              </w:rPr>
            </w:pPr>
          </w:p>
        </w:tc>
        <w:tc>
          <w:tcPr>
            <w:tcW w:w="1134" w:type="dxa"/>
            <w:vMerge w:val="continue"/>
            <w:vAlign w:val="center"/>
          </w:tcPr>
          <w:p w14:paraId="1E3844AF">
            <w:pPr>
              <w:spacing w:line="300" w:lineRule="exact"/>
              <w:jc w:val="center"/>
              <w:rPr>
                <w:rFonts w:ascii="仿宋_GB2312" w:hAnsi="宋体" w:eastAsia="仿宋_GB2312" w:cs="Times New Roman"/>
                <w:sz w:val="24"/>
                <w:szCs w:val="24"/>
              </w:rPr>
            </w:pPr>
          </w:p>
        </w:tc>
        <w:tc>
          <w:tcPr>
            <w:tcW w:w="3119" w:type="dxa"/>
            <w:vAlign w:val="center"/>
          </w:tcPr>
          <w:p w14:paraId="3BE65570">
            <w:pPr>
              <w:spacing w:line="300" w:lineRule="exact"/>
              <w:jc w:val="center"/>
              <w:rPr>
                <w:rFonts w:ascii="仿宋_GB2312" w:hAnsi="宋体" w:eastAsia="仿宋_GB2312"/>
                <w:sz w:val="24"/>
                <w:szCs w:val="24"/>
              </w:rPr>
            </w:pPr>
            <w:r>
              <w:rPr>
                <w:rFonts w:hint="eastAsia" w:ascii="仿宋_GB2312" w:hAnsi="宋体" w:eastAsia="仿宋_GB2312"/>
                <w:sz w:val="24"/>
                <w:szCs w:val="24"/>
              </w:rPr>
              <w:t>区建管中心</w:t>
            </w:r>
          </w:p>
        </w:tc>
        <w:tc>
          <w:tcPr>
            <w:tcW w:w="7187" w:type="dxa"/>
            <w:vMerge w:val="continue"/>
            <w:vAlign w:val="center"/>
          </w:tcPr>
          <w:p w14:paraId="62992937">
            <w:pPr>
              <w:spacing w:line="300" w:lineRule="exact"/>
              <w:ind w:firstLine="480" w:firstLineChars="200"/>
              <w:rPr>
                <w:rFonts w:ascii="仿宋_GB2312" w:hAnsi="黑体" w:eastAsia="仿宋_GB2312" w:cs="Times New Roman"/>
                <w:sz w:val="24"/>
                <w:szCs w:val="24"/>
              </w:rPr>
            </w:pPr>
          </w:p>
        </w:tc>
      </w:tr>
      <w:tr w14:paraId="05EB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43" w:type="dxa"/>
            <w:vMerge w:val="continue"/>
            <w:vAlign w:val="center"/>
          </w:tcPr>
          <w:p w14:paraId="3DD8EEB0">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37D3DA4D">
            <w:pPr>
              <w:spacing w:line="300" w:lineRule="exact"/>
              <w:rPr>
                <w:rFonts w:ascii="仿宋_GB2312" w:hAnsi="宋体" w:eastAsia="仿宋_GB2312"/>
                <w:sz w:val="24"/>
                <w:szCs w:val="24"/>
                <w:highlight w:val="yellow"/>
              </w:rPr>
            </w:pPr>
          </w:p>
        </w:tc>
        <w:tc>
          <w:tcPr>
            <w:tcW w:w="1134" w:type="dxa"/>
            <w:vMerge w:val="continue"/>
            <w:vAlign w:val="center"/>
          </w:tcPr>
          <w:p w14:paraId="3F1BAD98">
            <w:pPr>
              <w:spacing w:line="300" w:lineRule="exact"/>
              <w:jc w:val="center"/>
              <w:rPr>
                <w:rFonts w:ascii="仿宋_GB2312" w:hAnsi="宋体" w:eastAsia="仿宋_GB2312" w:cs="Times New Roman"/>
                <w:sz w:val="24"/>
                <w:szCs w:val="24"/>
              </w:rPr>
            </w:pPr>
          </w:p>
        </w:tc>
        <w:tc>
          <w:tcPr>
            <w:tcW w:w="3119" w:type="dxa"/>
            <w:vAlign w:val="center"/>
          </w:tcPr>
          <w:p w14:paraId="5893F245">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p w14:paraId="625B38FC">
            <w:pPr>
              <w:spacing w:line="300" w:lineRule="exact"/>
              <w:jc w:val="center"/>
              <w:rPr>
                <w:rFonts w:ascii="仿宋_GB2312" w:hAnsi="宋体" w:eastAsia="仿宋_GB2312"/>
                <w:sz w:val="24"/>
                <w:szCs w:val="24"/>
              </w:rPr>
            </w:pPr>
            <w:r>
              <w:rPr>
                <w:rFonts w:hint="eastAsia" w:ascii="仿宋_GB2312" w:hAnsi="宋体" w:eastAsia="仿宋_GB2312"/>
                <w:sz w:val="24"/>
                <w:szCs w:val="24"/>
              </w:rPr>
              <w:t>环市街</w:t>
            </w:r>
          </w:p>
        </w:tc>
        <w:tc>
          <w:tcPr>
            <w:tcW w:w="7187" w:type="dxa"/>
            <w:vMerge w:val="continue"/>
            <w:vAlign w:val="center"/>
          </w:tcPr>
          <w:p w14:paraId="2F19B1C9">
            <w:pPr>
              <w:spacing w:line="300" w:lineRule="exact"/>
              <w:ind w:firstLine="480" w:firstLineChars="200"/>
              <w:rPr>
                <w:rFonts w:ascii="仿宋_GB2312" w:hAnsi="黑体" w:eastAsia="仿宋_GB2312" w:cs="Times New Roman"/>
                <w:sz w:val="24"/>
                <w:szCs w:val="24"/>
              </w:rPr>
            </w:pPr>
          </w:p>
        </w:tc>
      </w:tr>
      <w:tr w14:paraId="2B30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543" w:type="dxa"/>
            <w:vAlign w:val="center"/>
          </w:tcPr>
          <w:p w14:paraId="1824787C">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3B908B8">
            <w:pPr>
              <w:spacing w:line="300" w:lineRule="exact"/>
              <w:rPr>
                <w:rFonts w:ascii="仿宋_GB2312" w:hAnsi="宋体" w:eastAsia="仿宋_GB2312"/>
                <w:b/>
                <w:sz w:val="24"/>
                <w:szCs w:val="24"/>
              </w:rPr>
            </w:pPr>
            <w:r>
              <w:rPr>
                <w:rFonts w:hint="eastAsia" w:ascii="仿宋_GB2312" w:hAnsi="宋体" w:eastAsia="仿宋_GB2312"/>
                <w:sz w:val="24"/>
                <w:szCs w:val="24"/>
              </w:rPr>
              <w:t>计划启动总投资约83亿元的建设项目开展城市品质提升，其中政府计划总投资约17亿元。</w:t>
            </w:r>
            <w:r>
              <w:rPr>
                <w:rFonts w:hint="eastAsia" w:ascii="仿宋_GB2312" w:hAnsi="宋体" w:eastAsia="仿宋_GB2312"/>
                <w:b/>
                <w:sz w:val="24"/>
                <w:szCs w:val="24"/>
              </w:rPr>
              <w:t>（牵头单位：区住房城乡建设局）</w:t>
            </w:r>
          </w:p>
        </w:tc>
        <w:tc>
          <w:tcPr>
            <w:tcW w:w="1134" w:type="dxa"/>
            <w:vAlign w:val="center"/>
          </w:tcPr>
          <w:p w14:paraId="664ED94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Align w:val="center"/>
          </w:tcPr>
          <w:p w14:paraId="41FD9598">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46C10847">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p w14:paraId="1B5A38D6">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w:t>
            </w:r>
          </w:p>
          <w:p w14:paraId="11302869">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60269871">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0431BC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截止3月底，蓬江区2019年城市品质提升行动任务清单1-3月完成投资额8.3亿元，完成投资率10%。</w:t>
            </w:r>
          </w:p>
        </w:tc>
      </w:tr>
      <w:tr w14:paraId="45DD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43" w:type="dxa"/>
            <w:vAlign w:val="center"/>
          </w:tcPr>
          <w:p w14:paraId="63F28919">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5965F528">
            <w:pPr>
              <w:spacing w:line="300" w:lineRule="exact"/>
              <w:rPr>
                <w:rFonts w:ascii="仿宋_GB2312" w:hAnsi="宋体" w:eastAsia="仿宋_GB2312"/>
                <w:sz w:val="24"/>
                <w:szCs w:val="24"/>
              </w:rPr>
            </w:pPr>
            <w:r>
              <w:rPr>
                <w:rFonts w:hint="eastAsia" w:ascii="仿宋_GB2312" w:hAnsi="宋体" w:eastAsia="仿宋_GB2312"/>
                <w:sz w:val="24"/>
                <w:szCs w:val="24"/>
              </w:rPr>
              <w:t>加强城区道路配套建设，完成约10万平方米道路维修工程，确保主干道装灯率达100%，提升城市出入口、高速公路出入口景观。</w:t>
            </w:r>
            <w:r>
              <w:rPr>
                <w:rFonts w:hint="eastAsia" w:ascii="仿宋_GB2312" w:hAnsi="宋体" w:eastAsia="仿宋_GB2312"/>
                <w:b/>
                <w:sz w:val="24"/>
                <w:szCs w:val="24"/>
              </w:rPr>
              <w:t>（牵头单位：区城市管理和综合执法局）</w:t>
            </w:r>
          </w:p>
        </w:tc>
        <w:tc>
          <w:tcPr>
            <w:tcW w:w="1134" w:type="dxa"/>
            <w:vAlign w:val="center"/>
          </w:tcPr>
          <w:p w14:paraId="34FF9489">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关志钒</w:t>
            </w:r>
          </w:p>
        </w:tc>
        <w:tc>
          <w:tcPr>
            <w:tcW w:w="3119" w:type="dxa"/>
            <w:vAlign w:val="center"/>
          </w:tcPr>
          <w:p w14:paraId="308AA9AA">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tc>
        <w:tc>
          <w:tcPr>
            <w:tcW w:w="7187" w:type="dxa"/>
            <w:vAlign w:val="center"/>
          </w:tcPr>
          <w:p w14:paraId="319DE6C8">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82BD58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已对西园社区、华园社区、五福社区及育德社区内道路、人行道进行维修，共修复约2.1万平方米；已对东华路、院士路、丰乐路等路段灯饰进行更换，确保主干道装灯率达100%。</w:t>
            </w:r>
          </w:p>
        </w:tc>
      </w:tr>
      <w:tr w14:paraId="1D8F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543" w:type="dxa"/>
            <w:vAlign w:val="center"/>
          </w:tcPr>
          <w:p w14:paraId="5C427AF5">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954E118">
            <w:pPr>
              <w:spacing w:line="300" w:lineRule="exact"/>
              <w:rPr>
                <w:rFonts w:ascii="仿宋_GB2312" w:hAnsi="宋体" w:eastAsia="仿宋_GB2312"/>
                <w:sz w:val="24"/>
                <w:szCs w:val="24"/>
              </w:rPr>
            </w:pPr>
            <w:r>
              <w:rPr>
                <w:rFonts w:hint="eastAsia" w:ascii="仿宋_GB2312" w:hAnsi="宋体" w:eastAsia="仿宋_GB2312"/>
                <w:sz w:val="24"/>
                <w:szCs w:val="24"/>
              </w:rPr>
              <w:t>计划投入1.36亿元推动城市“四化”持续升级，完成东华路亮化、港口路照明提升等6项工程，加快蓬江大桥桥体粉刷等3个项目推进。</w:t>
            </w:r>
            <w:r>
              <w:rPr>
                <w:rFonts w:hint="eastAsia" w:ascii="仿宋_GB2312" w:hAnsi="宋体" w:eastAsia="仿宋_GB2312"/>
                <w:b/>
                <w:sz w:val="24"/>
                <w:szCs w:val="24"/>
              </w:rPr>
              <w:t>（牵头单位：区城市管理和综合执法局）</w:t>
            </w:r>
          </w:p>
        </w:tc>
        <w:tc>
          <w:tcPr>
            <w:tcW w:w="1134" w:type="dxa"/>
            <w:vAlign w:val="center"/>
          </w:tcPr>
          <w:p w14:paraId="4E7C3AA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关志钒</w:t>
            </w:r>
          </w:p>
        </w:tc>
        <w:tc>
          <w:tcPr>
            <w:tcW w:w="3119" w:type="dxa"/>
            <w:vAlign w:val="center"/>
          </w:tcPr>
          <w:p w14:paraId="52445599">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tc>
        <w:tc>
          <w:tcPr>
            <w:tcW w:w="7187" w:type="dxa"/>
            <w:vAlign w:val="center"/>
          </w:tcPr>
          <w:p w14:paraId="755D7A3E">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1A153F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1.已于春节前完成节前“四化”工作；</w:t>
            </w:r>
          </w:p>
          <w:p w14:paraId="150BB47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2.截止3月底，基本完成院士路两侧的户外广告和招牌提质，现正对广场东路进行整改；共完成城心轴线示范区户外广告提升项目总工程量的60%；</w:t>
            </w:r>
          </w:p>
          <w:p w14:paraId="1081756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3.蓬江大桥已完成工程可行性研究报告和初步设计，正在征求各部门意见；</w:t>
            </w:r>
          </w:p>
          <w:p w14:paraId="0D1D109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4.东华路已完成道路两侧庭院灯、中央绿化带等照明、灯灯饰设施安装正在做两侧人行道基础，拆除旧路灯及旧电缆；</w:t>
            </w:r>
          </w:p>
          <w:p w14:paraId="7B16F1C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5.东华路、丰乐路、发展大道绿化提升项目已进入立项阶段。</w:t>
            </w:r>
          </w:p>
        </w:tc>
      </w:tr>
      <w:tr w14:paraId="59EF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543" w:type="dxa"/>
            <w:vAlign w:val="center"/>
          </w:tcPr>
          <w:p w14:paraId="5CA518C6">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C0E566D">
            <w:pPr>
              <w:spacing w:line="300" w:lineRule="exact"/>
              <w:rPr>
                <w:rFonts w:ascii="仿宋_GB2312" w:hAnsi="宋体" w:eastAsia="仿宋_GB2312"/>
                <w:sz w:val="24"/>
                <w:szCs w:val="24"/>
              </w:rPr>
            </w:pPr>
            <w:r>
              <w:rPr>
                <w:rFonts w:hint="eastAsia" w:ascii="仿宋_GB2312" w:hAnsi="宋体" w:eastAsia="仿宋_GB2312"/>
                <w:sz w:val="24"/>
                <w:szCs w:val="24"/>
              </w:rPr>
              <w:t>完善城市管理机制，在老城区、新城区分别搞几个可推动、可复制的城市管理试点，建立城市管理监督考评机制，抓好市容市貌管理。</w:t>
            </w:r>
            <w:r>
              <w:rPr>
                <w:rFonts w:hint="eastAsia" w:ascii="仿宋_GB2312" w:hAnsi="宋体" w:eastAsia="仿宋_GB2312"/>
                <w:b/>
                <w:sz w:val="24"/>
                <w:szCs w:val="24"/>
              </w:rPr>
              <w:t>（牵头单位：区城市管理和综合执法局）</w:t>
            </w:r>
          </w:p>
        </w:tc>
        <w:tc>
          <w:tcPr>
            <w:tcW w:w="1134" w:type="dxa"/>
            <w:vAlign w:val="center"/>
          </w:tcPr>
          <w:p w14:paraId="6E457C8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关志钒</w:t>
            </w:r>
          </w:p>
        </w:tc>
        <w:tc>
          <w:tcPr>
            <w:tcW w:w="3119" w:type="dxa"/>
            <w:vAlign w:val="center"/>
          </w:tcPr>
          <w:p w14:paraId="201BB890">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tc>
        <w:tc>
          <w:tcPr>
            <w:tcW w:w="7187" w:type="dxa"/>
            <w:vAlign w:val="center"/>
          </w:tcPr>
          <w:p w14:paraId="1CDE0C30">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80DEA7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正组织开展各镇（街）的调研摸底工作，并拟定详细考核方案。</w:t>
            </w:r>
          </w:p>
        </w:tc>
      </w:tr>
      <w:tr w14:paraId="167D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5" w:hRule="atLeast"/>
          <w:jc w:val="center"/>
        </w:trPr>
        <w:tc>
          <w:tcPr>
            <w:tcW w:w="543" w:type="dxa"/>
            <w:vAlign w:val="center"/>
          </w:tcPr>
          <w:p w14:paraId="10487F0B">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4C422EA">
            <w:pPr>
              <w:spacing w:line="300" w:lineRule="exact"/>
              <w:rPr>
                <w:rFonts w:ascii="仿宋_GB2312" w:hAnsi="宋体" w:eastAsia="仿宋_GB2312"/>
                <w:sz w:val="24"/>
                <w:szCs w:val="24"/>
              </w:rPr>
            </w:pPr>
            <w:r>
              <w:rPr>
                <w:rFonts w:hint="eastAsia" w:ascii="仿宋_GB2312" w:hAnsi="宋体" w:eastAsia="仿宋_GB2312"/>
                <w:sz w:val="24"/>
                <w:szCs w:val="24"/>
              </w:rPr>
              <w:t>加快老旧城区更新改造，重点推进连片三旧改造项目，加大城中村改造力度。</w:t>
            </w:r>
            <w:r>
              <w:rPr>
                <w:rFonts w:hint="eastAsia" w:ascii="仿宋_GB2312" w:hAnsi="宋体" w:eastAsia="仿宋_GB2312"/>
                <w:b/>
                <w:sz w:val="24"/>
                <w:szCs w:val="24"/>
              </w:rPr>
              <w:t>（牵头单位：区自然资源局）</w:t>
            </w:r>
          </w:p>
        </w:tc>
        <w:tc>
          <w:tcPr>
            <w:tcW w:w="1134" w:type="dxa"/>
            <w:vAlign w:val="center"/>
          </w:tcPr>
          <w:p w14:paraId="70809F10">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1D6B728F">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58A08336">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1B765A0A">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1A4C6C3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1.已制定蓬江区“三旧”改造三年滚动计划表（内含城中村）并已报市三旧办。</w:t>
            </w:r>
          </w:p>
          <w:p w14:paraId="5587982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2.其他在建城中村项目</w:t>
            </w:r>
          </w:p>
          <w:p w14:paraId="5845168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（1）环市街东风胜利北启动区B地块已完成工程桩、围堰桩、天面层面捣砼、天面机房顶层砼、二次结构、外墙贴砖4轴、和一至十三层内墙抹灰。</w:t>
            </w:r>
          </w:p>
          <w:p w14:paraId="114F8C0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（2）环市街里村旧村改造启动区3号地B地块已供地，准备动工建设。</w:t>
            </w:r>
          </w:p>
          <w:p w14:paraId="3F63495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（3）白沙街紫莱旧村改造：首期项目胜坚紫悦（A区）部分已竣工验收。</w:t>
            </w:r>
          </w:p>
          <w:p w14:paraId="1D5919B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（4）白沙街水南六里一期改造项目:已建肉菜市场，地下车库正在施工。</w:t>
            </w:r>
          </w:p>
          <w:p w14:paraId="495F257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（5）白沙街水南南华旧村改造项目已实施清拆,正在办理供地手续。</w:t>
            </w:r>
          </w:p>
        </w:tc>
      </w:tr>
      <w:tr w14:paraId="78F7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543" w:type="dxa"/>
            <w:vAlign w:val="center"/>
          </w:tcPr>
          <w:p w14:paraId="2391A354">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686EF66A">
            <w:pPr>
              <w:spacing w:line="300" w:lineRule="exact"/>
              <w:rPr>
                <w:rFonts w:ascii="仿宋_GB2312" w:hAnsi="宋体" w:eastAsia="仿宋_GB2312"/>
                <w:sz w:val="24"/>
                <w:szCs w:val="24"/>
              </w:rPr>
            </w:pPr>
            <w:r>
              <w:rPr>
                <w:rFonts w:hint="eastAsia" w:ascii="仿宋_GB2312" w:hAnsi="宋体" w:eastAsia="仿宋_GB2312"/>
                <w:sz w:val="24"/>
                <w:szCs w:val="24"/>
              </w:rPr>
              <w:t>打通交通微循环，新增城区公共停车位1000个。</w:t>
            </w:r>
            <w:r>
              <w:rPr>
                <w:rFonts w:hint="eastAsia" w:ascii="仿宋_GB2312" w:hAnsi="宋体" w:eastAsia="仿宋_GB2312"/>
                <w:b/>
                <w:sz w:val="24"/>
                <w:szCs w:val="24"/>
              </w:rPr>
              <w:t>（牵头单位：区城市管理和综合执法局）</w:t>
            </w:r>
          </w:p>
        </w:tc>
        <w:tc>
          <w:tcPr>
            <w:tcW w:w="1134" w:type="dxa"/>
            <w:vAlign w:val="center"/>
          </w:tcPr>
          <w:p w14:paraId="553BF6C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关志钒</w:t>
            </w:r>
          </w:p>
        </w:tc>
        <w:tc>
          <w:tcPr>
            <w:tcW w:w="3119" w:type="dxa"/>
            <w:vAlign w:val="center"/>
          </w:tcPr>
          <w:p w14:paraId="32DB3DC4">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tc>
        <w:tc>
          <w:tcPr>
            <w:tcW w:w="7187" w:type="dxa"/>
            <w:vAlign w:val="center"/>
          </w:tcPr>
          <w:p w14:paraId="31887245">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2E3BC2C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截至3月底，已完成200个停车位的建设工作。</w:t>
            </w:r>
          </w:p>
        </w:tc>
      </w:tr>
      <w:tr w14:paraId="0A99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543" w:type="dxa"/>
            <w:vAlign w:val="center"/>
          </w:tcPr>
          <w:p w14:paraId="4A7E0C4D">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1326B9C">
            <w:pPr>
              <w:spacing w:line="300" w:lineRule="exact"/>
              <w:rPr>
                <w:rFonts w:ascii="仿宋_GB2312" w:hAnsi="宋体" w:eastAsia="仿宋_GB2312"/>
                <w:sz w:val="24"/>
                <w:szCs w:val="24"/>
              </w:rPr>
            </w:pPr>
            <w:r>
              <w:rPr>
                <w:rFonts w:hint="eastAsia" w:ascii="仿宋_GB2312" w:hAnsi="宋体" w:eastAsia="仿宋_GB2312"/>
                <w:sz w:val="24"/>
                <w:szCs w:val="24"/>
              </w:rPr>
              <w:t>深入落实“厕所革命”，新建和升级改造38座城市公厕。</w:t>
            </w:r>
            <w:r>
              <w:rPr>
                <w:rFonts w:hint="eastAsia" w:ascii="仿宋_GB2312" w:hAnsi="宋体" w:eastAsia="仿宋_GB2312"/>
                <w:b/>
                <w:sz w:val="24"/>
                <w:szCs w:val="24"/>
              </w:rPr>
              <w:t>（牵头单位：区环卫局）</w:t>
            </w:r>
          </w:p>
        </w:tc>
        <w:tc>
          <w:tcPr>
            <w:tcW w:w="1134" w:type="dxa"/>
            <w:vAlign w:val="center"/>
          </w:tcPr>
          <w:p w14:paraId="224612C8">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关志钒</w:t>
            </w:r>
          </w:p>
        </w:tc>
        <w:tc>
          <w:tcPr>
            <w:tcW w:w="3119" w:type="dxa"/>
            <w:vAlign w:val="center"/>
          </w:tcPr>
          <w:p w14:paraId="74F23ECF">
            <w:pPr>
              <w:spacing w:line="300" w:lineRule="exact"/>
              <w:jc w:val="center"/>
              <w:rPr>
                <w:rFonts w:ascii="仿宋_GB2312" w:hAnsi="宋体" w:eastAsia="仿宋_GB2312"/>
                <w:sz w:val="24"/>
                <w:szCs w:val="24"/>
              </w:rPr>
            </w:pPr>
            <w:r>
              <w:rPr>
                <w:rFonts w:hint="eastAsia" w:ascii="仿宋_GB2312" w:hAnsi="宋体" w:eastAsia="仿宋_GB2312"/>
                <w:sz w:val="24"/>
                <w:szCs w:val="24"/>
              </w:rPr>
              <w:t>区环卫局</w:t>
            </w:r>
          </w:p>
          <w:p w14:paraId="670B9A05">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3B4D7E65">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3725D88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二期厕所改造工程现有9座正在施工，其中7座处于拆旧阶段，2座正在砌墙和批灰。</w:t>
            </w:r>
          </w:p>
        </w:tc>
      </w:tr>
      <w:tr w14:paraId="7F99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jc w:val="center"/>
        </w:trPr>
        <w:tc>
          <w:tcPr>
            <w:tcW w:w="543" w:type="dxa"/>
            <w:vMerge w:val="restart"/>
            <w:vAlign w:val="center"/>
          </w:tcPr>
          <w:p w14:paraId="4C1E0F69">
            <w:pPr>
              <w:numPr>
                <w:ilvl w:val="0"/>
                <w:numId w:val="2"/>
              </w:numPr>
              <w:spacing w:line="300" w:lineRule="exact"/>
              <w:jc w:val="center"/>
              <w:rPr>
                <w:rFonts w:ascii="仿宋_GB2312" w:hAnsi="黑体" w:eastAsia="仿宋_GB2312" w:cs="仿宋_GB2312"/>
                <w:sz w:val="24"/>
                <w:szCs w:val="24"/>
              </w:rPr>
            </w:pPr>
          </w:p>
        </w:tc>
        <w:tc>
          <w:tcPr>
            <w:tcW w:w="3415" w:type="dxa"/>
            <w:gridSpan w:val="3"/>
            <w:vMerge w:val="restart"/>
            <w:vAlign w:val="center"/>
          </w:tcPr>
          <w:p w14:paraId="032271F9">
            <w:pPr>
              <w:spacing w:line="300" w:lineRule="exact"/>
              <w:rPr>
                <w:rFonts w:ascii="仿宋_GB2312" w:hAnsi="宋体" w:eastAsia="仿宋_GB2312"/>
                <w:sz w:val="24"/>
                <w:szCs w:val="24"/>
              </w:rPr>
            </w:pPr>
            <w:r>
              <w:rPr>
                <w:rFonts w:hint="eastAsia" w:ascii="仿宋_GB2312" w:hAnsi="宋体" w:eastAsia="仿宋_GB2312"/>
                <w:sz w:val="24"/>
                <w:szCs w:val="24"/>
              </w:rPr>
              <w:t>扎实推进黑臭水体治理及河长制（湖长制）工作。</w:t>
            </w:r>
            <w:r>
              <w:rPr>
                <w:rFonts w:hint="eastAsia" w:ascii="仿宋_GB2312" w:hAnsi="宋体" w:eastAsia="仿宋_GB2312"/>
                <w:b/>
                <w:sz w:val="24"/>
                <w:szCs w:val="24"/>
              </w:rPr>
              <w:t>（牵头单位：区农业农村和水利局）</w:t>
            </w:r>
          </w:p>
        </w:tc>
        <w:tc>
          <w:tcPr>
            <w:tcW w:w="1134" w:type="dxa"/>
            <w:vAlign w:val="center"/>
          </w:tcPr>
          <w:p w14:paraId="460B557C">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1D40EE41">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362BCC4D">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区委办、区政府办公室</w:t>
            </w:r>
          </w:p>
          <w:p w14:paraId="65DCC668">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1CB9B52E">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44305F9E">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3D7091C3">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3232AC9F">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02AF31DC">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065659BD">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p w14:paraId="02AB40DA">
            <w:pPr>
              <w:spacing w:line="300" w:lineRule="exact"/>
              <w:jc w:val="center"/>
              <w:rPr>
                <w:rFonts w:ascii="仿宋_GB2312" w:hAnsi="宋体" w:eastAsia="仿宋_GB2312"/>
                <w:sz w:val="24"/>
                <w:szCs w:val="24"/>
              </w:rPr>
            </w:pPr>
            <w:r>
              <w:rPr>
                <w:rFonts w:hint="eastAsia" w:ascii="仿宋_GB2312" w:hAnsi="宋体" w:eastAsia="仿宋_GB2312"/>
                <w:sz w:val="24"/>
                <w:szCs w:val="24"/>
              </w:rPr>
              <w:t>区卫生健康局</w:t>
            </w:r>
          </w:p>
          <w:p w14:paraId="693E0789">
            <w:pPr>
              <w:spacing w:line="300" w:lineRule="exact"/>
              <w:jc w:val="center"/>
              <w:rPr>
                <w:rFonts w:ascii="仿宋_GB2312" w:hAnsi="宋体" w:eastAsia="仿宋_GB2312"/>
                <w:sz w:val="24"/>
                <w:szCs w:val="24"/>
              </w:rPr>
            </w:pPr>
            <w:r>
              <w:rPr>
                <w:rFonts w:hint="eastAsia" w:ascii="仿宋_GB2312" w:hAnsi="宋体" w:eastAsia="仿宋_GB2312"/>
                <w:sz w:val="24"/>
                <w:szCs w:val="24"/>
              </w:rPr>
              <w:t>区公安分局</w:t>
            </w:r>
          </w:p>
          <w:p w14:paraId="5DA6534A">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Merge w:val="restart"/>
            <w:vAlign w:val="center"/>
          </w:tcPr>
          <w:p w14:paraId="3A4338FD">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70A3A07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1.已于3月召开全区总河长会议。</w:t>
            </w:r>
          </w:p>
          <w:p w14:paraId="0A9D518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2.已完成国家、省考核河长制的迎检准备工作，资料已提交至江门市河长办。</w:t>
            </w:r>
          </w:p>
          <w:p w14:paraId="1637C8A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3.已建立“第三方”河道巡查整改机制，累计巡查次数305次。</w:t>
            </w:r>
          </w:p>
          <w:p w14:paraId="48684B0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已完成新发现黑臭水体“一河一策”整治方案的拟稿工作，正分别开展“6个一”制度建设；区新增的3条黑臭水体整体已纳入新黑臭水体治理EPC+O项目，项目概念方案已完成，正在开展可行性研究报告编制；新黑臭水体治理EPC+O项目应急方案设计方案已基本完成。</w:t>
            </w:r>
          </w:p>
          <w:p w14:paraId="358846E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区委宣传部在《江门日报》蓬江新闻版开设“蓬江美丽乡村建设”专栏，围绕黑臭水体整治以及河长制推出系列报道；同时，运用蓬江发布、蓬江视界、行走蓬江、蓬江之声等宣传平台及时报道黑臭水体整治以及河长制工作的最新动态。</w:t>
            </w:r>
          </w:p>
        </w:tc>
      </w:tr>
      <w:tr w14:paraId="1A35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543" w:type="dxa"/>
            <w:vMerge w:val="continue"/>
            <w:vAlign w:val="center"/>
          </w:tcPr>
          <w:p w14:paraId="266385FC">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75143D9C">
            <w:pPr>
              <w:spacing w:line="300" w:lineRule="exact"/>
              <w:rPr>
                <w:rFonts w:ascii="仿宋_GB2312" w:hAnsi="宋体" w:eastAsia="仿宋_GB2312"/>
                <w:sz w:val="24"/>
                <w:szCs w:val="24"/>
              </w:rPr>
            </w:pPr>
          </w:p>
        </w:tc>
        <w:tc>
          <w:tcPr>
            <w:tcW w:w="1134" w:type="dxa"/>
            <w:vAlign w:val="center"/>
          </w:tcPr>
          <w:p w14:paraId="081873E9">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  莲</w:t>
            </w:r>
          </w:p>
        </w:tc>
        <w:tc>
          <w:tcPr>
            <w:tcW w:w="3119" w:type="dxa"/>
            <w:vAlign w:val="center"/>
          </w:tcPr>
          <w:p w14:paraId="5947DF92">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区委宣传部</w:t>
            </w:r>
          </w:p>
        </w:tc>
        <w:tc>
          <w:tcPr>
            <w:tcW w:w="7187" w:type="dxa"/>
            <w:vMerge w:val="continue"/>
            <w:vAlign w:val="center"/>
          </w:tcPr>
          <w:p w14:paraId="14063246">
            <w:pPr>
              <w:spacing w:line="300" w:lineRule="exact"/>
              <w:ind w:firstLine="480" w:firstLineChars="200"/>
              <w:rPr>
                <w:rFonts w:ascii="仿宋_GB2312" w:hAnsi="宋体" w:eastAsia="仿宋_GB2312" w:cs="Times New Roman"/>
                <w:sz w:val="24"/>
                <w:szCs w:val="24"/>
              </w:rPr>
            </w:pPr>
          </w:p>
        </w:tc>
      </w:tr>
      <w:tr w14:paraId="0E6A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543" w:type="dxa"/>
            <w:vAlign w:val="center"/>
          </w:tcPr>
          <w:p w14:paraId="441CC326">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BBD80B0">
            <w:pPr>
              <w:spacing w:line="300" w:lineRule="exact"/>
              <w:rPr>
                <w:rFonts w:ascii="仿宋_GB2312" w:hAnsi="宋体" w:eastAsia="仿宋_GB2312"/>
                <w:sz w:val="24"/>
                <w:szCs w:val="24"/>
              </w:rPr>
            </w:pPr>
            <w:r>
              <w:rPr>
                <w:rFonts w:hint="eastAsia" w:ascii="仿宋_GB2312" w:hAnsi="宋体" w:eastAsia="仿宋_GB2312"/>
                <w:sz w:val="24"/>
                <w:szCs w:val="24"/>
              </w:rPr>
              <w:t>深入推进畜禽污染整治。</w:t>
            </w:r>
            <w:r>
              <w:rPr>
                <w:rFonts w:hint="eastAsia" w:ascii="仿宋_GB2312" w:hAnsi="宋体" w:eastAsia="仿宋_GB2312"/>
                <w:b/>
                <w:sz w:val="24"/>
                <w:szCs w:val="24"/>
              </w:rPr>
              <w:t>（牵头单位：区农业农村和水利局）</w:t>
            </w:r>
          </w:p>
        </w:tc>
        <w:tc>
          <w:tcPr>
            <w:tcW w:w="1134" w:type="dxa"/>
            <w:vAlign w:val="center"/>
          </w:tcPr>
          <w:p w14:paraId="0619606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46D54A66">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0C4B7DEC">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1F5F6320">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AD1580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印发《关于印发&lt;江门市蓬江区畜禽养殖区域巡查制度(试行)&gt;的通知》，督促镇街加强对属地养殖区域的巡查，防止禁养区内生猪养殖活动死灰复燃;结合蓬江实际，对2019年全区畜禽养殖废弃物资源化利用工作作出部署，要求各镇街按照全区统一部署，要结合全域牲畜禁养进一步提升畜禽粪污综合利用率及督促规模养殖场完成粪污处理设施装备配套；截至3月底，全区畜禽粪污综合利用率达到67.69%。</w:t>
            </w:r>
          </w:p>
        </w:tc>
      </w:tr>
      <w:tr w14:paraId="2750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43" w:type="dxa"/>
            <w:vAlign w:val="center"/>
          </w:tcPr>
          <w:p w14:paraId="73C10509">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FD5F359">
            <w:pPr>
              <w:spacing w:line="300" w:lineRule="exact"/>
              <w:rPr>
                <w:rFonts w:ascii="仿宋_GB2312" w:hAnsi="宋体" w:eastAsia="仿宋_GB2312"/>
                <w:sz w:val="24"/>
                <w:szCs w:val="24"/>
              </w:rPr>
            </w:pPr>
            <w:r>
              <w:rPr>
                <w:rFonts w:hint="eastAsia" w:ascii="仿宋_GB2312" w:hAnsi="宋体" w:eastAsia="仿宋_GB2312"/>
                <w:sz w:val="24"/>
                <w:szCs w:val="24"/>
              </w:rPr>
              <w:t>力促棠下镇成功创建“国家卫生镇”，确保杜阮镇、潮连街通过“国家卫生镇”复审，力争创建省、市级卫生村29条。</w:t>
            </w:r>
            <w:r>
              <w:rPr>
                <w:rFonts w:hint="eastAsia" w:ascii="仿宋_GB2312" w:hAnsi="宋体" w:eastAsia="仿宋_GB2312"/>
                <w:b/>
                <w:sz w:val="24"/>
                <w:szCs w:val="24"/>
              </w:rPr>
              <w:t>（牵头单位：区卫生健康局）</w:t>
            </w:r>
          </w:p>
        </w:tc>
        <w:tc>
          <w:tcPr>
            <w:tcW w:w="1134" w:type="dxa"/>
            <w:vAlign w:val="center"/>
          </w:tcPr>
          <w:p w14:paraId="24C45559">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王建新</w:t>
            </w:r>
          </w:p>
        </w:tc>
        <w:tc>
          <w:tcPr>
            <w:tcW w:w="3119" w:type="dxa"/>
            <w:vAlign w:val="center"/>
          </w:tcPr>
          <w:p w14:paraId="52D0509E">
            <w:pPr>
              <w:spacing w:line="300" w:lineRule="exact"/>
              <w:jc w:val="center"/>
              <w:rPr>
                <w:rFonts w:ascii="仿宋_GB2312" w:hAnsi="宋体" w:eastAsia="仿宋_GB2312"/>
                <w:sz w:val="24"/>
                <w:szCs w:val="24"/>
              </w:rPr>
            </w:pPr>
            <w:r>
              <w:rPr>
                <w:rFonts w:hint="eastAsia" w:ascii="仿宋_GB2312" w:hAnsi="宋体" w:eastAsia="仿宋_GB2312"/>
                <w:sz w:val="24"/>
                <w:szCs w:val="24"/>
              </w:rPr>
              <w:t>区卫生健康局</w:t>
            </w:r>
          </w:p>
          <w:p w14:paraId="365DFD85">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4B405CFA">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315CF2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1.棠下镇创建国家卫生镇,杜阮镇、潮连街国家卫生镇复审等材料已于2019年2月底完成申报,迎检资料已完成。</w:t>
            </w:r>
          </w:p>
          <w:p w14:paraId="38D7240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2.完成4月份省复审现场迎检工作。</w:t>
            </w:r>
          </w:p>
          <w:p w14:paraId="7FD195B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3.定期开展国家卫生镇工作巡查并落实通报督导整改工作。</w:t>
            </w:r>
          </w:p>
        </w:tc>
      </w:tr>
      <w:tr w14:paraId="5328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543" w:type="dxa"/>
            <w:vAlign w:val="center"/>
          </w:tcPr>
          <w:p w14:paraId="154EEF22">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012C2E83">
            <w:pPr>
              <w:spacing w:line="300" w:lineRule="exact"/>
              <w:rPr>
                <w:rFonts w:ascii="仿宋_GB2312" w:hAnsi="宋体" w:eastAsia="仿宋_GB2312"/>
                <w:sz w:val="24"/>
                <w:szCs w:val="24"/>
              </w:rPr>
            </w:pPr>
            <w:r>
              <w:rPr>
                <w:rFonts w:hint="eastAsia" w:ascii="仿宋_GB2312" w:hAnsi="宋体" w:eastAsia="仿宋_GB2312"/>
                <w:sz w:val="24"/>
                <w:szCs w:val="24"/>
              </w:rPr>
              <w:t>加快发展富民兴村特色产业，进一步深化特色小镇、凉瓜小镇田园综合体及市级农业现代产业园建设工作，确保棠下镇、杜阮镇创建乡村振兴综合改革试点示范镇取得阶段性成果。</w:t>
            </w:r>
            <w:r>
              <w:rPr>
                <w:rFonts w:hint="eastAsia" w:ascii="仿宋_GB2312" w:hAnsi="宋体" w:eastAsia="仿宋_GB2312"/>
                <w:b/>
                <w:sz w:val="24"/>
                <w:szCs w:val="24"/>
              </w:rPr>
              <w:t>（牵头单位：区农业农村和水利局）</w:t>
            </w:r>
          </w:p>
        </w:tc>
        <w:tc>
          <w:tcPr>
            <w:tcW w:w="1134" w:type="dxa"/>
            <w:vAlign w:val="center"/>
          </w:tcPr>
          <w:p w14:paraId="66A90FE8">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0F2B8ADD">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227BEB4C">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p w14:paraId="217A1AF3">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05502A24">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区文化广电旅游体育局</w:t>
            </w:r>
          </w:p>
          <w:p w14:paraId="2271282B">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3E9965D0">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2481A372">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2AD08DE3">
            <w:pPr>
              <w:spacing w:line="300" w:lineRule="exact"/>
              <w:jc w:val="center"/>
              <w:rPr>
                <w:rFonts w:ascii="仿宋_GB2312" w:hAnsi="宋体" w:eastAsia="仿宋_GB2312"/>
                <w:sz w:val="24"/>
                <w:szCs w:val="24"/>
              </w:rPr>
            </w:pPr>
            <w:r>
              <w:rPr>
                <w:rFonts w:hint="eastAsia" w:ascii="仿宋_GB2312" w:hAnsi="宋体" w:eastAsia="仿宋_GB2312"/>
                <w:sz w:val="24"/>
                <w:szCs w:val="24"/>
              </w:rPr>
              <w:t>区环卫局</w:t>
            </w:r>
          </w:p>
          <w:p w14:paraId="6747E2CA">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区文明办</w:t>
            </w:r>
          </w:p>
          <w:p w14:paraId="1179555C">
            <w:pPr>
              <w:spacing w:line="300" w:lineRule="exact"/>
              <w:jc w:val="center"/>
              <w:rPr>
                <w:rFonts w:ascii="仿宋_GB2312" w:hAnsi="宋体" w:eastAsia="仿宋_GB2312"/>
                <w:sz w:val="24"/>
                <w:szCs w:val="24"/>
              </w:rPr>
            </w:pPr>
            <w:r>
              <w:rPr>
                <w:rFonts w:hint="eastAsia" w:ascii="仿宋_GB2312" w:hAnsi="宋体" w:eastAsia="仿宋_GB2312"/>
                <w:sz w:val="24"/>
                <w:szCs w:val="24"/>
              </w:rPr>
              <w:t>棠下镇</w:t>
            </w:r>
          </w:p>
          <w:p w14:paraId="223A7FBF">
            <w:pPr>
              <w:spacing w:line="300" w:lineRule="exact"/>
              <w:jc w:val="center"/>
              <w:rPr>
                <w:rFonts w:ascii="仿宋_GB2312" w:hAnsi="宋体" w:eastAsia="仿宋_GB2312"/>
                <w:sz w:val="24"/>
                <w:szCs w:val="24"/>
              </w:rPr>
            </w:pPr>
            <w:r>
              <w:rPr>
                <w:rFonts w:hint="eastAsia" w:ascii="仿宋_GB2312" w:hAnsi="宋体" w:eastAsia="仿宋_GB2312"/>
                <w:sz w:val="24"/>
                <w:szCs w:val="24"/>
              </w:rPr>
              <w:t>杜阮镇</w:t>
            </w:r>
          </w:p>
        </w:tc>
        <w:tc>
          <w:tcPr>
            <w:tcW w:w="7187" w:type="dxa"/>
            <w:vAlign w:val="center"/>
          </w:tcPr>
          <w:p w14:paraId="2A89AB12">
            <w:pPr>
              <w:spacing w:line="30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2361F2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1.已明确市级农业产业园将依托杜阮凉瓜田园综合体建设，打造以杜阮凉瓜为主导产品的现代产业园区。</w:t>
            </w:r>
          </w:p>
          <w:p w14:paraId="79A1BA7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w:t>
            </w:r>
            <w:r>
              <w:rPr>
                <w:rFonts w:hint="eastAsia"/>
              </w:rPr>
              <w:t xml:space="preserve"> </w:t>
            </w:r>
            <w:r>
              <w:rPr>
                <w:rFonts w:hint="eastAsia" w:ascii="仿宋_GB2312" w:hAnsi="黑体" w:eastAsia="仿宋_GB2312" w:cs="Times New Roman"/>
                <w:sz w:val="24"/>
                <w:szCs w:val="24"/>
              </w:rPr>
              <w:t>《江门市蓬江区推进乡村振兴综合改革试点创建市级城乡融合发展先行区实施方案》已印发并实施。</w:t>
            </w:r>
          </w:p>
          <w:p w14:paraId="06EFBA8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3.杜阮镇已委托广东华远国土工程有限公司编制实施方案，预计3月中下旬完成方案编制，待方案确定后上报区政府，由区政府上报市政府审定后再实施。</w:t>
            </w:r>
          </w:p>
        </w:tc>
      </w:tr>
      <w:tr w14:paraId="6547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543" w:type="dxa"/>
            <w:vAlign w:val="center"/>
          </w:tcPr>
          <w:p w14:paraId="117C7740">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7B4F065">
            <w:pPr>
              <w:spacing w:line="300" w:lineRule="exact"/>
              <w:rPr>
                <w:rFonts w:ascii="仿宋_GB2312" w:hAnsi="宋体" w:eastAsia="仿宋_GB2312"/>
                <w:sz w:val="24"/>
                <w:szCs w:val="24"/>
              </w:rPr>
            </w:pPr>
            <w:r>
              <w:rPr>
                <w:rFonts w:hint="eastAsia" w:ascii="仿宋_GB2312" w:hAnsi="宋体" w:eastAsia="仿宋_GB2312"/>
                <w:sz w:val="24"/>
                <w:szCs w:val="24"/>
              </w:rPr>
              <w:t>加快补齐农村基础设施和公共服务短板，扎实推进“四好农村路”示范县（区）创建工作。</w:t>
            </w:r>
            <w:r>
              <w:rPr>
                <w:rFonts w:hint="eastAsia" w:ascii="仿宋_GB2312" w:hAnsi="宋体" w:eastAsia="仿宋_GB2312"/>
                <w:b/>
                <w:sz w:val="24"/>
                <w:szCs w:val="24"/>
              </w:rPr>
              <w:t>（牵头单位：区住房城乡建设局）</w:t>
            </w:r>
          </w:p>
        </w:tc>
        <w:tc>
          <w:tcPr>
            <w:tcW w:w="1134" w:type="dxa"/>
            <w:vAlign w:val="center"/>
          </w:tcPr>
          <w:p w14:paraId="758D2A4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Align w:val="center"/>
          </w:tcPr>
          <w:p w14:paraId="749647D8">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7059B0C9">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27625299">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7256663B">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3A7765CD">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7A34BAA0">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p w14:paraId="70B1BD75">
            <w:pPr>
              <w:spacing w:line="300" w:lineRule="exact"/>
              <w:jc w:val="center"/>
              <w:rPr>
                <w:rFonts w:ascii="仿宋_GB2312" w:hAnsi="宋体" w:eastAsia="仿宋_GB2312"/>
                <w:sz w:val="24"/>
                <w:szCs w:val="24"/>
              </w:rPr>
            </w:pPr>
            <w:r>
              <w:rPr>
                <w:rFonts w:hint="eastAsia" w:ascii="仿宋_GB2312" w:hAnsi="宋体" w:eastAsia="仿宋_GB2312"/>
                <w:sz w:val="24"/>
                <w:szCs w:val="24"/>
              </w:rPr>
              <w:t>区司法局</w:t>
            </w:r>
          </w:p>
          <w:p w14:paraId="05A5CDCF">
            <w:pPr>
              <w:spacing w:line="300" w:lineRule="exact"/>
              <w:jc w:val="center"/>
              <w:rPr>
                <w:rFonts w:ascii="仿宋_GB2312" w:hAnsi="宋体" w:eastAsia="仿宋_GB2312"/>
                <w:sz w:val="24"/>
                <w:szCs w:val="24"/>
              </w:rPr>
            </w:pPr>
            <w:r>
              <w:rPr>
                <w:rFonts w:hint="eastAsia" w:ascii="仿宋_GB2312" w:hAnsi="宋体" w:eastAsia="仿宋_GB2312"/>
                <w:sz w:val="24"/>
                <w:szCs w:val="24"/>
              </w:rPr>
              <w:t>棠下镇</w:t>
            </w:r>
          </w:p>
          <w:p w14:paraId="57B50E24">
            <w:pPr>
              <w:spacing w:line="300" w:lineRule="exact"/>
              <w:jc w:val="center"/>
              <w:rPr>
                <w:rFonts w:ascii="仿宋_GB2312" w:hAnsi="宋体" w:eastAsia="仿宋_GB2312"/>
                <w:sz w:val="24"/>
                <w:szCs w:val="24"/>
              </w:rPr>
            </w:pPr>
            <w:r>
              <w:rPr>
                <w:rFonts w:hint="eastAsia" w:ascii="仿宋_GB2312" w:hAnsi="宋体" w:eastAsia="仿宋_GB2312"/>
                <w:sz w:val="24"/>
                <w:szCs w:val="24"/>
              </w:rPr>
              <w:t>荷塘镇</w:t>
            </w:r>
          </w:p>
          <w:p w14:paraId="69AD0C12">
            <w:pPr>
              <w:spacing w:line="300" w:lineRule="exact"/>
              <w:jc w:val="center"/>
              <w:rPr>
                <w:rFonts w:ascii="仿宋_GB2312" w:hAnsi="宋体" w:eastAsia="仿宋_GB2312"/>
                <w:sz w:val="24"/>
                <w:szCs w:val="24"/>
              </w:rPr>
            </w:pPr>
            <w:r>
              <w:rPr>
                <w:rFonts w:hint="eastAsia" w:ascii="仿宋_GB2312" w:hAnsi="宋体" w:eastAsia="仿宋_GB2312"/>
                <w:sz w:val="24"/>
                <w:szCs w:val="24"/>
              </w:rPr>
              <w:t>杜阮镇</w:t>
            </w:r>
          </w:p>
          <w:p w14:paraId="2A02710C">
            <w:pPr>
              <w:spacing w:line="300" w:lineRule="exact"/>
              <w:jc w:val="center"/>
              <w:rPr>
                <w:rFonts w:ascii="仿宋_GB2312" w:hAnsi="宋体" w:eastAsia="仿宋_GB2312"/>
                <w:sz w:val="24"/>
                <w:szCs w:val="24"/>
              </w:rPr>
            </w:pPr>
            <w:r>
              <w:rPr>
                <w:rFonts w:hint="eastAsia" w:ascii="仿宋_GB2312" w:hAnsi="宋体" w:eastAsia="仿宋_GB2312"/>
                <w:sz w:val="24"/>
                <w:szCs w:val="24"/>
              </w:rPr>
              <w:t>潮连街</w:t>
            </w:r>
          </w:p>
        </w:tc>
        <w:tc>
          <w:tcPr>
            <w:tcW w:w="7187" w:type="dxa"/>
            <w:vAlign w:val="center"/>
          </w:tcPr>
          <w:p w14:paraId="4B19B221">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CEE1B41">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1.示范路乐公线、棠良线、杜叱线已建成，成为当地一道美丽的风景线。</w:t>
            </w:r>
          </w:p>
          <w:p w14:paraId="50F70115">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2.各镇、街的道路绿化项目及村道道路维修项目已完工。</w:t>
            </w:r>
          </w:p>
          <w:p w14:paraId="7234A876">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3.辖区内所有自然村均已通达公路。</w:t>
            </w:r>
          </w:p>
          <w:p w14:paraId="51DB2088">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4.东堤路正在进行水泥主线混凝土路面板860米半幅施工，旧路修补1200平方米，绿化工程及交通安全设施施工工作。</w:t>
            </w:r>
          </w:p>
          <w:p w14:paraId="534C2415">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5.棠下镇、杜阮镇的路面硬底化项目及荷塘镇的三坊桥正在大力建设推进中。</w:t>
            </w:r>
          </w:p>
          <w:p w14:paraId="30BF72FD">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6.已于3月底向市交通运输局报送了《关于上报蓬江区创建“四好农村路”示范县申报材料的报告》及《广东省创建“四好农村路”示范县申报表》。</w:t>
            </w:r>
          </w:p>
        </w:tc>
      </w:tr>
      <w:tr w14:paraId="4866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543" w:type="dxa"/>
            <w:vMerge w:val="restart"/>
            <w:vAlign w:val="center"/>
          </w:tcPr>
          <w:p w14:paraId="783036E7">
            <w:pPr>
              <w:numPr>
                <w:ilvl w:val="0"/>
                <w:numId w:val="2"/>
              </w:numPr>
              <w:spacing w:line="300" w:lineRule="exact"/>
              <w:jc w:val="center"/>
              <w:rPr>
                <w:rFonts w:ascii="仿宋_GB2312" w:hAnsi="黑体" w:eastAsia="仿宋_GB2312" w:cs="仿宋_GB2312"/>
                <w:sz w:val="24"/>
                <w:szCs w:val="24"/>
              </w:rPr>
            </w:pPr>
          </w:p>
        </w:tc>
        <w:tc>
          <w:tcPr>
            <w:tcW w:w="1147" w:type="dxa"/>
            <w:gridSpan w:val="2"/>
            <w:vMerge w:val="restart"/>
            <w:vAlign w:val="center"/>
          </w:tcPr>
          <w:p w14:paraId="130F4FCB">
            <w:pPr>
              <w:spacing w:line="300" w:lineRule="exact"/>
              <w:rPr>
                <w:rFonts w:ascii="仿宋_GB2312" w:hAnsi="宋体" w:eastAsia="仿宋_GB2312"/>
                <w:sz w:val="24"/>
                <w:szCs w:val="24"/>
              </w:rPr>
            </w:pPr>
            <w:r>
              <w:rPr>
                <w:rFonts w:hint="eastAsia" w:ascii="仿宋_GB2312" w:hAnsi="宋体" w:eastAsia="仿宋_GB2312"/>
                <w:sz w:val="24"/>
                <w:szCs w:val="24"/>
              </w:rPr>
              <w:t>大力推进防洪排涝基础设施建设</w:t>
            </w:r>
          </w:p>
        </w:tc>
        <w:tc>
          <w:tcPr>
            <w:tcW w:w="2268" w:type="dxa"/>
            <w:vAlign w:val="center"/>
          </w:tcPr>
          <w:p w14:paraId="785EE636">
            <w:pPr>
              <w:spacing w:line="300" w:lineRule="exact"/>
              <w:rPr>
                <w:rFonts w:ascii="仿宋_GB2312" w:hAnsi="宋体" w:eastAsia="仿宋_GB2312"/>
                <w:sz w:val="24"/>
                <w:szCs w:val="24"/>
              </w:rPr>
            </w:pPr>
            <w:r>
              <w:rPr>
                <w:rFonts w:hint="eastAsia" w:ascii="仿宋_GB2312" w:hAnsi="宋体" w:eastAsia="仿宋_GB2312"/>
                <w:sz w:val="24"/>
                <w:szCs w:val="24"/>
              </w:rPr>
              <w:t>推进农村防洪排涝基础设施建设。</w:t>
            </w:r>
            <w:r>
              <w:rPr>
                <w:rFonts w:hint="eastAsia" w:ascii="仿宋_GB2312" w:hAnsi="宋体" w:eastAsia="仿宋_GB2312"/>
                <w:b/>
                <w:sz w:val="24"/>
                <w:szCs w:val="24"/>
              </w:rPr>
              <w:t>（牵头单位：区农业农村和水利局）</w:t>
            </w:r>
          </w:p>
        </w:tc>
        <w:tc>
          <w:tcPr>
            <w:tcW w:w="1134" w:type="dxa"/>
            <w:vAlign w:val="center"/>
          </w:tcPr>
          <w:p w14:paraId="7433943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7427F89F">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5A347463">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1D1051DB">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628226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南冲电排站项目已完成立项，已统筹纳入新黑臭水体治理EPC+O项目，正在开展项目前期工作。</w:t>
            </w:r>
          </w:p>
        </w:tc>
      </w:tr>
      <w:tr w14:paraId="3AE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43" w:type="dxa"/>
            <w:vMerge w:val="continue"/>
            <w:vAlign w:val="center"/>
          </w:tcPr>
          <w:p w14:paraId="1EB84860">
            <w:pPr>
              <w:numPr>
                <w:ilvl w:val="0"/>
                <w:numId w:val="2"/>
              </w:numPr>
              <w:spacing w:line="300" w:lineRule="exact"/>
              <w:jc w:val="center"/>
              <w:rPr>
                <w:rFonts w:ascii="仿宋_GB2312" w:hAnsi="黑体" w:eastAsia="仿宋_GB2312" w:cs="仿宋_GB2312"/>
                <w:sz w:val="24"/>
                <w:szCs w:val="24"/>
              </w:rPr>
            </w:pPr>
          </w:p>
        </w:tc>
        <w:tc>
          <w:tcPr>
            <w:tcW w:w="1147" w:type="dxa"/>
            <w:gridSpan w:val="2"/>
            <w:vMerge w:val="continue"/>
            <w:vAlign w:val="center"/>
          </w:tcPr>
          <w:p w14:paraId="4B2F6E50">
            <w:pPr>
              <w:spacing w:line="300" w:lineRule="exact"/>
              <w:rPr>
                <w:rFonts w:ascii="仿宋_GB2312" w:hAnsi="宋体" w:eastAsia="仿宋_GB2312"/>
                <w:sz w:val="24"/>
                <w:szCs w:val="24"/>
              </w:rPr>
            </w:pPr>
          </w:p>
        </w:tc>
        <w:tc>
          <w:tcPr>
            <w:tcW w:w="2268" w:type="dxa"/>
            <w:vAlign w:val="center"/>
          </w:tcPr>
          <w:p w14:paraId="25BA14DD">
            <w:pPr>
              <w:spacing w:line="300" w:lineRule="exact"/>
              <w:rPr>
                <w:rFonts w:ascii="仿宋_GB2312" w:hAnsi="宋体" w:eastAsia="仿宋_GB2312"/>
                <w:b/>
                <w:sz w:val="24"/>
                <w:szCs w:val="24"/>
              </w:rPr>
            </w:pPr>
            <w:r>
              <w:rPr>
                <w:rFonts w:hint="eastAsia" w:ascii="仿宋_GB2312" w:hAnsi="宋体" w:eastAsia="仿宋_GB2312"/>
                <w:sz w:val="24"/>
                <w:szCs w:val="24"/>
              </w:rPr>
              <w:t>推进城市防洪排涝基础设施建设。</w:t>
            </w:r>
            <w:r>
              <w:rPr>
                <w:rFonts w:hint="eastAsia" w:ascii="仿宋_GB2312" w:hAnsi="宋体" w:eastAsia="仿宋_GB2312"/>
                <w:b/>
                <w:sz w:val="24"/>
                <w:szCs w:val="24"/>
              </w:rPr>
              <w:t>（牵头单位：区城市管理和综合执法局）</w:t>
            </w:r>
          </w:p>
        </w:tc>
        <w:tc>
          <w:tcPr>
            <w:tcW w:w="1134" w:type="dxa"/>
            <w:vAlign w:val="center"/>
          </w:tcPr>
          <w:p w14:paraId="01990C8B">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关志钒</w:t>
            </w:r>
          </w:p>
        </w:tc>
        <w:tc>
          <w:tcPr>
            <w:tcW w:w="3119" w:type="dxa"/>
            <w:vAlign w:val="center"/>
          </w:tcPr>
          <w:p w14:paraId="757FE226">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p w14:paraId="7C3DFC2B">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786AD8DC">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5C0C3E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现正落实泵房选址，修改初步设计方案。</w:t>
            </w:r>
          </w:p>
        </w:tc>
      </w:tr>
      <w:tr w14:paraId="517C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43" w:type="dxa"/>
            <w:vAlign w:val="center"/>
          </w:tcPr>
          <w:p w14:paraId="7BD387E6">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0F4794A8">
            <w:pPr>
              <w:spacing w:line="300" w:lineRule="exact"/>
              <w:rPr>
                <w:rFonts w:ascii="仿宋_GB2312" w:hAnsi="宋体" w:eastAsia="仿宋_GB2312"/>
                <w:sz w:val="24"/>
                <w:szCs w:val="24"/>
              </w:rPr>
            </w:pPr>
            <w:r>
              <w:rPr>
                <w:rFonts w:hint="eastAsia" w:ascii="仿宋_GB2312" w:hAnsi="宋体" w:eastAsia="仿宋_GB2312"/>
                <w:sz w:val="24"/>
                <w:szCs w:val="24"/>
              </w:rPr>
              <w:t>开展村村通自来水工程。</w:t>
            </w:r>
            <w:r>
              <w:rPr>
                <w:rFonts w:hint="eastAsia" w:ascii="仿宋_GB2312" w:hAnsi="宋体" w:eastAsia="仿宋_GB2312"/>
                <w:b/>
                <w:sz w:val="24"/>
                <w:szCs w:val="24"/>
              </w:rPr>
              <w:t>（牵头单位：棠下镇）</w:t>
            </w:r>
          </w:p>
        </w:tc>
        <w:tc>
          <w:tcPr>
            <w:tcW w:w="1134" w:type="dxa"/>
            <w:vAlign w:val="center"/>
          </w:tcPr>
          <w:p w14:paraId="0B59F79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18C32976">
            <w:pPr>
              <w:spacing w:line="300" w:lineRule="exact"/>
              <w:jc w:val="center"/>
              <w:rPr>
                <w:rFonts w:ascii="仿宋_GB2312" w:hAnsi="宋体" w:eastAsia="仿宋_GB2312"/>
                <w:sz w:val="24"/>
                <w:szCs w:val="24"/>
              </w:rPr>
            </w:pPr>
            <w:r>
              <w:rPr>
                <w:rFonts w:hint="eastAsia" w:ascii="仿宋_GB2312" w:hAnsi="宋体" w:eastAsia="仿宋_GB2312"/>
                <w:sz w:val="24"/>
                <w:szCs w:val="24"/>
              </w:rPr>
              <w:t>棠下镇</w:t>
            </w:r>
          </w:p>
          <w:p w14:paraId="01155964">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tc>
        <w:tc>
          <w:tcPr>
            <w:tcW w:w="7187" w:type="dxa"/>
            <w:vAlign w:val="center"/>
          </w:tcPr>
          <w:p w14:paraId="32C00A52">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225DC7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1.中心村干管已经完成施工。</w:t>
            </w:r>
          </w:p>
          <w:p w14:paraId="5CD918D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2.良溪行政村的自来水干管工程已于3月30日已进场施工，首期工程为兴隆路工程。</w:t>
            </w:r>
          </w:p>
        </w:tc>
      </w:tr>
      <w:tr w14:paraId="616F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543" w:type="dxa"/>
            <w:vAlign w:val="center"/>
          </w:tcPr>
          <w:p w14:paraId="5DD1EB9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5EE40F22">
            <w:pPr>
              <w:spacing w:line="300" w:lineRule="exact"/>
              <w:rPr>
                <w:rFonts w:ascii="仿宋_GB2312" w:hAnsi="宋体" w:eastAsia="仿宋_GB2312"/>
                <w:sz w:val="24"/>
                <w:szCs w:val="24"/>
              </w:rPr>
            </w:pPr>
            <w:r>
              <w:rPr>
                <w:rFonts w:hint="eastAsia" w:ascii="仿宋_GB2312" w:hAnsi="宋体" w:eastAsia="仿宋_GB2312"/>
                <w:sz w:val="24"/>
                <w:szCs w:val="24"/>
              </w:rPr>
              <w:t>扎实推进生态宜居美丽乡村示范创建工作，打造7个农村人居环境整治示范村，3个市级乡村振兴示范村，新建和升级改造12座村改居公厕。</w:t>
            </w:r>
            <w:r>
              <w:rPr>
                <w:rFonts w:hint="eastAsia" w:ascii="仿宋_GB2312" w:hAnsi="宋体" w:eastAsia="仿宋_GB2312"/>
                <w:b/>
                <w:sz w:val="24"/>
                <w:szCs w:val="24"/>
              </w:rPr>
              <w:t>（牵头单位：区农业农村和水利局）</w:t>
            </w:r>
          </w:p>
        </w:tc>
        <w:tc>
          <w:tcPr>
            <w:tcW w:w="1134" w:type="dxa"/>
            <w:vAlign w:val="center"/>
          </w:tcPr>
          <w:p w14:paraId="7E393902">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7128E997">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5A76D26D">
            <w:pPr>
              <w:spacing w:line="300" w:lineRule="exact"/>
              <w:jc w:val="center"/>
              <w:rPr>
                <w:rFonts w:ascii="仿宋_GB2312" w:hAnsi="宋体" w:eastAsia="仿宋_GB2312"/>
                <w:sz w:val="24"/>
                <w:szCs w:val="24"/>
              </w:rPr>
            </w:pPr>
            <w:r>
              <w:rPr>
                <w:rFonts w:hint="eastAsia" w:ascii="仿宋_GB2312" w:hAnsi="宋体" w:eastAsia="仿宋_GB2312"/>
                <w:sz w:val="24"/>
                <w:szCs w:val="24"/>
              </w:rPr>
              <w:t>区城市管理和综合执法局</w:t>
            </w:r>
          </w:p>
          <w:p w14:paraId="7DEE71EC">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44D42B95">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区文化广电旅游体育局</w:t>
            </w:r>
          </w:p>
          <w:p w14:paraId="54D30661">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0EF2F2A4">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472225A3">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127FC7B5">
            <w:pPr>
              <w:spacing w:line="300" w:lineRule="exact"/>
              <w:jc w:val="center"/>
              <w:rPr>
                <w:rFonts w:ascii="仿宋_GB2312" w:hAnsi="宋体" w:eastAsia="仿宋_GB2312"/>
                <w:sz w:val="24"/>
                <w:szCs w:val="24"/>
              </w:rPr>
            </w:pPr>
            <w:r>
              <w:rPr>
                <w:rFonts w:hint="eastAsia" w:ascii="仿宋_GB2312" w:hAnsi="宋体" w:eastAsia="仿宋_GB2312"/>
                <w:sz w:val="24"/>
                <w:szCs w:val="24"/>
              </w:rPr>
              <w:t>区环卫局</w:t>
            </w:r>
          </w:p>
          <w:p w14:paraId="17B341F7">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区文明办</w:t>
            </w:r>
          </w:p>
          <w:p w14:paraId="7D8C37B6">
            <w:pPr>
              <w:spacing w:line="300" w:lineRule="exact"/>
              <w:jc w:val="center"/>
              <w:rPr>
                <w:rFonts w:ascii="仿宋_GB2312" w:hAnsi="宋体" w:eastAsia="仿宋_GB2312"/>
                <w:sz w:val="24"/>
                <w:szCs w:val="24"/>
              </w:rPr>
            </w:pPr>
            <w:r>
              <w:rPr>
                <w:rFonts w:hint="eastAsia" w:ascii="仿宋_GB2312" w:hAnsi="宋体" w:eastAsia="仿宋_GB2312"/>
                <w:sz w:val="24"/>
                <w:szCs w:val="24"/>
              </w:rPr>
              <w:t>区爱卫办</w:t>
            </w:r>
          </w:p>
          <w:p w14:paraId="1BE5EECD">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7A2E7A15">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3647D0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 4个区级示范村基本完成美丽乡村品质提升规划（初稿），并计划按规定对工程开展承发包。</w:t>
            </w:r>
          </w:p>
          <w:p w14:paraId="3B04DB1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2.制定特色精品村及美丽宜居村的验收标准，即“八个最优”和“五个一”，并确定具体创建名单，明确各具体任务、时间节点及指导单位。</w:t>
            </w:r>
          </w:p>
          <w:p w14:paraId="099E43B7">
            <w:pPr>
              <w:spacing w:line="300" w:lineRule="exact"/>
              <w:ind w:firstLine="480" w:firstLineChars="200"/>
              <w:rPr>
                <w:rFonts w:ascii="仿宋_GB2312" w:hAnsi="仿宋_GB2312" w:eastAsia="仿宋_GB2312" w:cs="仿宋_GB2312"/>
                <w:sz w:val="24"/>
                <w:szCs w:val="24"/>
              </w:rPr>
            </w:pPr>
            <w:r>
              <w:rPr>
                <w:rFonts w:hint="eastAsia" w:ascii="仿宋_GB2312" w:hAnsi="黑体" w:eastAsia="仿宋_GB2312" w:cs="Times New Roman"/>
                <w:sz w:val="24"/>
                <w:szCs w:val="24"/>
              </w:rPr>
              <w:t>3.已形成挂点结对工作机制，建立起区四套领导班子成员一人抓一个示范点、区直部门结对一个村（居）、各镇街领导班子、驻村工作组挂点辖区村（居）的工作挂点机制</w:t>
            </w:r>
            <w:r>
              <w:rPr>
                <w:rFonts w:hint="eastAsia" w:ascii="仿宋_GB2312" w:hAnsi="仿宋_GB2312" w:eastAsia="仿宋_GB2312" w:cs="仿宋_GB2312"/>
                <w:sz w:val="24"/>
                <w:szCs w:val="24"/>
              </w:rPr>
              <w:t>。</w:t>
            </w:r>
          </w:p>
          <w:p w14:paraId="2795AA4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4.已完成 12座村改居公厕建设工作。</w:t>
            </w:r>
          </w:p>
        </w:tc>
      </w:tr>
      <w:tr w14:paraId="5859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jc w:val="center"/>
        </w:trPr>
        <w:tc>
          <w:tcPr>
            <w:tcW w:w="543" w:type="dxa"/>
            <w:vAlign w:val="center"/>
          </w:tcPr>
          <w:p w14:paraId="57FAA8C2">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087C856">
            <w:pPr>
              <w:spacing w:line="300" w:lineRule="exact"/>
              <w:rPr>
                <w:rFonts w:ascii="仿宋_GB2312" w:hAnsi="宋体" w:eastAsia="仿宋_GB2312"/>
                <w:sz w:val="24"/>
                <w:szCs w:val="24"/>
              </w:rPr>
            </w:pPr>
            <w:r>
              <w:rPr>
                <w:rFonts w:hint="eastAsia" w:ascii="仿宋_GB2312" w:hAnsi="宋体" w:eastAsia="仿宋_GB2312"/>
                <w:sz w:val="24"/>
                <w:szCs w:val="24"/>
              </w:rPr>
              <w:t>推进现代农业经营主体培育工程，培育省级重点农业龙头企业1家、市级农民专业合作示范社1家、新型职业农民110名。</w:t>
            </w:r>
            <w:r>
              <w:rPr>
                <w:rFonts w:hint="eastAsia" w:ascii="仿宋_GB2312" w:hAnsi="宋体" w:eastAsia="仿宋_GB2312"/>
                <w:b/>
                <w:sz w:val="24"/>
                <w:szCs w:val="24"/>
              </w:rPr>
              <w:t>（牵头单位：区农业农村和水利局）</w:t>
            </w:r>
          </w:p>
        </w:tc>
        <w:tc>
          <w:tcPr>
            <w:tcW w:w="1134" w:type="dxa"/>
            <w:vAlign w:val="center"/>
          </w:tcPr>
          <w:p w14:paraId="7DF83D7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2A49AA3B">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3667051D">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70059F04">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04E8FF43">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4E8BA0F1">
            <w:pPr>
              <w:spacing w:line="300" w:lineRule="exact"/>
              <w:jc w:val="center"/>
              <w:rPr>
                <w:rFonts w:ascii="仿宋_GB2312" w:hAnsi="宋体" w:eastAsia="仿宋_GB2312"/>
                <w:sz w:val="24"/>
                <w:szCs w:val="24"/>
              </w:rPr>
            </w:pPr>
            <w:r>
              <w:rPr>
                <w:rFonts w:hint="eastAsia" w:ascii="仿宋_GB2312" w:hAnsi="宋体" w:eastAsia="仿宋_GB2312"/>
                <w:sz w:val="24"/>
                <w:szCs w:val="24"/>
              </w:rPr>
              <w:t>区税务局</w:t>
            </w:r>
          </w:p>
          <w:p w14:paraId="4F4EF69A">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50E8C00B">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6674E3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1.已组织江门市植保有限公司申报省级重点农业龙头企业；已组织汇润农民合作社申报江门市农民专业合作社；</w:t>
            </w:r>
          </w:p>
          <w:p w14:paraId="1C2304B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2.组织已被市认定的新型职业农民积极参加广东十大杰出新型职业农民评选活动。</w:t>
            </w:r>
          </w:p>
          <w:p w14:paraId="6D44D54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3.已通过公开遴选、组织市级专家评审的形式，确定承担区新型职业农民培育的培训机构为广州上善培训机构有限公司。</w:t>
            </w:r>
          </w:p>
        </w:tc>
      </w:tr>
      <w:tr w14:paraId="78AC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543" w:type="dxa"/>
            <w:vAlign w:val="center"/>
          </w:tcPr>
          <w:p w14:paraId="4D19ABE0">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63D4097F">
            <w:pPr>
              <w:spacing w:line="300" w:lineRule="exact"/>
              <w:rPr>
                <w:rFonts w:ascii="仿宋_GB2312" w:hAnsi="宋体" w:eastAsia="仿宋_GB2312"/>
                <w:sz w:val="24"/>
                <w:szCs w:val="24"/>
                <w:highlight w:val="yellow"/>
              </w:rPr>
            </w:pPr>
            <w:r>
              <w:rPr>
                <w:rFonts w:hint="eastAsia" w:ascii="仿宋_GB2312" w:hAnsi="宋体" w:eastAsia="仿宋_GB2312"/>
                <w:sz w:val="24"/>
                <w:szCs w:val="24"/>
              </w:rPr>
              <w:t>增强土地资源开发和利用效率，建设区、镇两级农村产权流转服务平台。</w:t>
            </w:r>
            <w:r>
              <w:rPr>
                <w:rFonts w:hint="eastAsia" w:ascii="仿宋_GB2312" w:hAnsi="宋体" w:eastAsia="仿宋_GB2312"/>
                <w:b/>
                <w:sz w:val="24"/>
                <w:szCs w:val="24"/>
              </w:rPr>
              <w:t>（牵头单位：区农业农村和水利局）</w:t>
            </w:r>
          </w:p>
        </w:tc>
        <w:tc>
          <w:tcPr>
            <w:tcW w:w="1134" w:type="dxa"/>
            <w:vAlign w:val="center"/>
          </w:tcPr>
          <w:p w14:paraId="03E3B653">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7F01DA4C">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61940E48">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0901C46D">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DA1084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13个新修订的农村集体“三资”管理制度或指导意见已报区委区政府审定。</w:t>
            </w:r>
          </w:p>
        </w:tc>
      </w:tr>
      <w:tr w14:paraId="5C9B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543" w:type="dxa"/>
            <w:vAlign w:val="center"/>
          </w:tcPr>
          <w:p w14:paraId="52200AA2">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534B3EA2">
            <w:pPr>
              <w:spacing w:line="300" w:lineRule="exact"/>
              <w:rPr>
                <w:rFonts w:ascii="仿宋_GB2312" w:hAnsi="宋体" w:eastAsia="仿宋_GB2312"/>
                <w:sz w:val="24"/>
                <w:szCs w:val="24"/>
              </w:rPr>
            </w:pPr>
            <w:r>
              <w:rPr>
                <w:rFonts w:hint="eastAsia" w:ascii="仿宋_GB2312" w:hAnsi="宋体" w:eastAsia="仿宋_GB2312"/>
                <w:sz w:val="24"/>
                <w:szCs w:val="24"/>
              </w:rPr>
              <w:t>持续壮大村级经济，鼓励、引导集体经济组织通过自建物业、与国资合作共建物业等多种形式增加收入。</w:t>
            </w:r>
            <w:r>
              <w:rPr>
                <w:rFonts w:hint="eastAsia" w:ascii="仿宋_GB2312" w:hAnsi="宋体" w:eastAsia="仿宋_GB2312"/>
                <w:b/>
                <w:sz w:val="24"/>
                <w:szCs w:val="24"/>
              </w:rPr>
              <w:t>（牵头单位：区农业农村和水利局）</w:t>
            </w:r>
          </w:p>
        </w:tc>
        <w:tc>
          <w:tcPr>
            <w:tcW w:w="1134" w:type="dxa"/>
            <w:vAlign w:val="center"/>
          </w:tcPr>
          <w:p w14:paraId="4233E5E5">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2C4AFD41">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2E5F0E8A">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7E010F31">
            <w:pPr>
              <w:spacing w:line="300" w:lineRule="exact"/>
              <w:jc w:val="center"/>
              <w:rPr>
                <w:rFonts w:ascii="仿宋_GB2312" w:hAnsi="宋体" w:eastAsia="仿宋_GB2312"/>
                <w:sz w:val="24"/>
                <w:szCs w:val="24"/>
              </w:rPr>
            </w:pPr>
            <w:r>
              <w:rPr>
                <w:rFonts w:hint="eastAsia" w:ascii="仿宋_GB2312" w:hAnsi="宋体" w:eastAsia="仿宋_GB2312"/>
                <w:sz w:val="24"/>
                <w:szCs w:val="24"/>
              </w:rPr>
              <w:t>区国有资产监督管理局</w:t>
            </w:r>
          </w:p>
          <w:p w14:paraId="3DFA3A08">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6BF46C15">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A22F06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已向各镇、街下发《关于开展2018年村级物业建设项目财政扶持申报工作的通知》，组织各村（经联社）做好村级集体出租物业建设财政补贴申报工作。</w:t>
            </w:r>
          </w:p>
        </w:tc>
      </w:tr>
      <w:tr w14:paraId="491B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543" w:type="dxa"/>
            <w:vAlign w:val="center"/>
          </w:tcPr>
          <w:p w14:paraId="4F26C2F1">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C1385D9">
            <w:pPr>
              <w:spacing w:line="300" w:lineRule="exact"/>
              <w:rPr>
                <w:rFonts w:ascii="仿宋_GB2312" w:hAnsi="宋体" w:eastAsia="仿宋_GB2312"/>
                <w:sz w:val="24"/>
                <w:szCs w:val="24"/>
              </w:rPr>
            </w:pPr>
            <w:r>
              <w:rPr>
                <w:rFonts w:hint="eastAsia" w:ascii="仿宋_GB2312" w:hAnsi="宋体" w:eastAsia="仿宋_GB2312"/>
                <w:sz w:val="24"/>
                <w:szCs w:val="24"/>
              </w:rPr>
              <w:t>推进教育集团扩容提质，建立完善教育集团运行机制。</w:t>
            </w:r>
            <w:r>
              <w:rPr>
                <w:rFonts w:hint="eastAsia" w:ascii="仿宋_GB2312" w:hAnsi="宋体" w:eastAsia="仿宋_GB2312"/>
                <w:b/>
                <w:sz w:val="24"/>
                <w:szCs w:val="24"/>
              </w:rPr>
              <w:t>（牵头单位：区教育局）</w:t>
            </w:r>
          </w:p>
        </w:tc>
        <w:tc>
          <w:tcPr>
            <w:tcW w:w="1134" w:type="dxa"/>
            <w:vAlign w:val="center"/>
          </w:tcPr>
          <w:p w14:paraId="3B42D969">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7A64E157">
            <w:pPr>
              <w:spacing w:line="300" w:lineRule="exact"/>
              <w:jc w:val="center"/>
              <w:rPr>
                <w:rFonts w:ascii="仿宋_GB2312" w:hAnsi="宋体" w:eastAsia="仿宋_GB2312"/>
                <w:sz w:val="24"/>
                <w:szCs w:val="24"/>
              </w:rPr>
            </w:pPr>
            <w:r>
              <w:rPr>
                <w:rFonts w:hint="eastAsia" w:ascii="仿宋_GB2312" w:hAnsi="宋体" w:eastAsia="仿宋_GB2312"/>
                <w:sz w:val="24"/>
                <w:szCs w:val="24"/>
              </w:rPr>
              <w:t>区教育局</w:t>
            </w:r>
          </w:p>
          <w:p w14:paraId="7BE20C36">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6D97B3B2">
            <w:pPr>
              <w:spacing w:line="300" w:lineRule="exact"/>
              <w:jc w:val="center"/>
              <w:rPr>
                <w:rFonts w:ascii="仿宋_GB2312" w:hAnsi="宋体" w:eastAsia="仿宋_GB2312"/>
                <w:sz w:val="24"/>
                <w:szCs w:val="24"/>
              </w:rPr>
            </w:pPr>
            <w:r>
              <w:rPr>
                <w:rFonts w:hint="eastAsia" w:ascii="仿宋_GB2312" w:hAnsi="宋体" w:eastAsia="仿宋_GB2312"/>
                <w:sz w:val="24"/>
                <w:szCs w:val="24"/>
              </w:rPr>
              <w:t>区科工商务局</w:t>
            </w:r>
          </w:p>
          <w:p w14:paraId="6FBDD445">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3F02EF9D">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区委编办</w:t>
            </w:r>
          </w:p>
          <w:p w14:paraId="2AE46E23">
            <w:pPr>
              <w:spacing w:line="300" w:lineRule="exact"/>
              <w:jc w:val="center"/>
              <w:rPr>
                <w:rFonts w:ascii="仿宋_GB2312" w:hAnsi="宋体" w:eastAsia="仿宋_GB2312"/>
                <w:sz w:val="24"/>
                <w:szCs w:val="24"/>
              </w:rPr>
            </w:pPr>
            <w:r>
              <w:rPr>
                <w:rFonts w:hint="eastAsia" w:ascii="仿宋_GB2312" w:hAnsi="宋体" w:eastAsia="仿宋_GB2312"/>
                <w:sz w:val="24"/>
                <w:szCs w:val="24"/>
              </w:rPr>
              <w:t>区人力资源社会保障局</w:t>
            </w:r>
          </w:p>
          <w:p w14:paraId="79012099">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68C86F4C">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78A81A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6大教育集团已完成属下成员学校的挂牌工作，并建立集团章程，开展正常的运作。</w:t>
            </w:r>
          </w:p>
        </w:tc>
      </w:tr>
      <w:tr w14:paraId="136E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43" w:type="dxa"/>
            <w:vAlign w:val="center"/>
          </w:tcPr>
          <w:p w14:paraId="103146A1">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380E716">
            <w:pPr>
              <w:spacing w:line="300" w:lineRule="exact"/>
              <w:rPr>
                <w:rFonts w:ascii="仿宋_GB2312" w:hAnsi="宋体" w:eastAsia="仿宋_GB2312"/>
                <w:sz w:val="24"/>
                <w:szCs w:val="24"/>
              </w:rPr>
            </w:pPr>
            <w:r>
              <w:rPr>
                <w:rFonts w:hint="eastAsia" w:ascii="仿宋_GB2312" w:hAnsi="宋体" w:eastAsia="仿宋_GB2312"/>
                <w:sz w:val="24"/>
                <w:szCs w:val="24"/>
              </w:rPr>
              <w:t>继续推进“县管校聘”，促进区域教师队伍优质均衡配置。</w:t>
            </w:r>
            <w:r>
              <w:rPr>
                <w:rFonts w:hint="eastAsia" w:ascii="仿宋_GB2312" w:hAnsi="宋体" w:eastAsia="仿宋_GB2312"/>
                <w:b/>
                <w:sz w:val="24"/>
                <w:szCs w:val="24"/>
              </w:rPr>
              <w:t>（牵头单位：区教育局）</w:t>
            </w:r>
          </w:p>
        </w:tc>
        <w:tc>
          <w:tcPr>
            <w:tcW w:w="1134" w:type="dxa"/>
            <w:vAlign w:val="center"/>
          </w:tcPr>
          <w:p w14:paraId="03A4484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368D2B96">
            <w:pPr>
              <w:spacing w:line="300" w:lineRule="exact"/>
              <w:jc w:val="center"/>
              <w:rPr>
                <w:rFonts w:ascii="仿宋_GB2312" w:hAnsi="宋体" w:eastAsia="仿宋_GB2312"/>
                <w:sz w:val="24"/>
                <w:szCs w:val="24"/>
              </w:rPr>
            </w:pPr>
            <w:r>
              <w:rPr>
                <w:rFonts w:hint="eastAsia" w:ascii="仿宋_GB2312" w:hAnsi="宋体" w:eastAsia="仿宋_GB2312"/>
                <w:sz w:val="24"/>
                <w:szCs w:val="24"/>
              </w:rPr>
              <w:t>区教育局</w:t>
            </w:r>
          </w:p>
          <w:p w14:paraId="141C184C">
            <w:pPr>
              <w:spacing w:line="300" w:lineRule="exact"/>
              <w:jc w:val="center"/>
              <w:rPr>
                <w:rFonts w:ascii="仿宋_GB2312" w:hAnsi="宋体" w:eastAsia="仿宋_GB2312"/>
                <w:sz w:val="24"/>
                <w:szCs w:val="24"/>
              </w:rPr>
            </w:pPr>
            <w:r>
              <w:rPr>
                <w:rFonts w:hint="eastAsia" w:ascii="仿宋_GB2312" w:hAnsi="宋体" w:eastAsia="仿宋_GB2312"/>
                <w:sz w:val="24"/>
                <w:szCs w:val="24"/>
              </w:rPr>
              <w:t>区人力资源社会保障局</w:t>
            </w:r>
          </w:p>
          <w:p w14:paraId="1418AE93">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区委编办</w:t>
            </w:r>
          </w:p>
          <w:p w14:paraId="43AF3129">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4C9B5642">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8B984B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现正收集各学校“在教师‘县管校聘’管理下，学校在做好教师管理、考核和退出岗位方面的设想和目标”等的意见或建议。</w:t>
            </w:r>
          </w:p>
        </w:tc>
      </w:tr>
      <w:tr w14:paraId="4C6F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jc w:val="center"/>
        </w:trPr>
        <w:tc>
          <w:tcPr>
            <w:tcW w:w="543" w:type="dxa"/>
            <w:vAlign w:val="center"/>
          </w:tcPr>
          <w:p w14:paraId="17E20BCF">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C272AC0">
            <w:pPr>
              <w:spacing w:line="300" w:lineRule="exact"/>
              <w:rPr>
                <w:rFonts w:ascii="仿宋_GB2312" w:hAnsi="宋体" w:eastAsia="仿宋_GB2312"/>
                <w:sz w:val="24"/>
                <w:szCs w:val="24"/>
              </w:rPr>
            </w:pPr>
            <w:r>
              <w:rPr>
                <w:rFonts w:hint="eastAsia" w:ascii="仿宋_GB2312" w:hAnsi="宋体" w:eastAsia="仿宋_GB2312"/>
                <w:sz w:val="24"/>
                <w:szCs w:val="24"/>
              </w:rPr>
              <w:t>继续完善创文常态化成效机制，确保完成创文年度测评检查。</w:t>
            </w:r>
            <w:r>
              <w:rPr>
                <w:rFonts w:hint="eastAsia" w:ascii="仿宋_GB2312" w:hAnsi="宋体" w:eastAsia="仿宋_GB2312"/>
                <w:b/>
                <w:sz w:val="24"/>
                <w:szCs w:val="24"/>
              </w:rPr>
              <w:t>（牵头单位：区文明办）</w:t>
            </w:r>
          </w:p>
        </w:tc>
        <w:tc>
          <w:tcPr>
            <w:tcW w:w="1134" w:type="dxa"/>
            <w:vAlign w:val="center"/>
          </w:tcPr>
          <w:p w14:paraId="5A9E996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  莲</w:t>
            </w:r>
          </w:p>
        </w:tc>
        <w:tc>
          <w:tcPr>
            <w:tcW w:w="3119" w:type="dxa"/>
            <w:vAlign w:val="center"/>
          </w:tcPr>
          <w:p w14:paraId="760DA148">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区文明办</w:t>
            </w:r>
          </w:p>
          <w:p w14:paraId="2BC10020">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w:t>
            </w:r>
          </w:p>
          <w:p w14:paraId="4DA7DB79">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6434A37B">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D977D8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1.已制订2019-2021年蓬江区创文常态化工作方案，组织开展常态化创文督导工作，增加制作爱心雨伞和雨伞岗，深入推进文明城市创建工作。</w:t>
            </w:r>
          </w:p>
          <w:p w14:paraId="04F0036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2.已更新蓬江好人广场的“最美蓬江人”事迹展示，编撰《最美蓬江人》图书，开展一季度“蓬江好人”推荐评选活动。</w:t>
            </w:r>
          </w:p>
          <w:p w14:paraId="28335C7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3.已开展乡村少年宫春季班活动，推荐潮连街中心学校参评江门市乡村学校少年宫建设项目。</w:t>
            </w:r>
          </w:p>
          <w:p w14:paraId="136792B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4.已开展文明单位、文明校园复查和申报测评工作，并对辖区各镇、村文明村镇创建工作开展年度测评。</w:t>
            </w:r>
          </w:p>
        </w:tc>
      </w:tr>
      <w:tr w14:paraId="6A77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5" w:hRule="atLeast"/>
          <w:jc w:val="center"/>
        </w:trPr>
        <w:tc>
          <w:tcPr>
            <w:tcW w:w="543" w:type="dxa"/>
            <w:vAlign w:val="center"/>
          </w:tcPr>
          <w:p w14:paraId="5A1A897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9F81E6C">
            <w:pPr>
              <w:spacing w:line="300" w:lineRule="exact"/>
              <w:rPr>
                <w:rFonts w:ascii="仿宋_GB2312" w:hAnsi="宋体" w:eastAsia="仿宋_GB2312"/>
                <w:sz w:val="24"/>
                <w:szCs w:val="24"/>
              </w:rPr>
            </w:pPr>
            <w:r>
              <w:rPr>
                <w:rFonts w:hint="eastAsia" w:ascii="仿宋_GB2312" w:hAnsi="宋体" w:eastAsia="仿宋_GB2312"/>
                <w:sz w:val="24"/>
                <w:szCs w:val="24"/>
              </w:rPr>
              <w:t>增加优质学位供给，基本建成里仁小学，启动和推进范罗冈小学滨江校区二期教学楼、棠下中学综合楼、江门市实验中学扩建工程、蓬江区特殊教育学校的建设工作。</w:t>
            </w:r>
            <w:r>
              <w:rPr>
                <w:rFonts w:hint="eastAsia" w:ascii="仿宋_GB2312" w:hAnsi="宋体" w:eastAsia="仿宋_GB2312"/>
                <w:b/>
                <w:sz w:val="24"/>
                <w:szCs w:val="24"/>
              </w:rPr>
              <w:t>（牵头单位：区教育局）</w:t>
            </w:r>
          </w:p>
        </w:tc>
        <w:tc>
          <w:tcPr>
            <w:tcW w:w="1134" w:type="dxa"/>
            <w:vAlign w:val="center"/>
          </w:tcPr>
          <w:p w14:paraId="68BF2E20">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3E716DBC">
            <w:pPr>
              <w:spacing w:line="300" w:lineRule="exact"/>
              <w:jc w:val="center"/>
              <w:rPr>
                <w:rFonts w:ascii="仿宋_GB2312" w:hAnsi="宋体" w:eastAsia="仿宋_GB2312"/>
                <w:sz w:val="24"/>
                <w:szCs w:val="24"/>
              </w:rPr>
            </w:pPr>
            <w:r>
              <w:rPr>
                <w:rFonts w:hint="eastAsia" w:ascii="仿宋_GB2312" w:hAnsi="宋体" w:eastAsia="仿宋_GB2312"/>
                <w:sz w:val="24"/>
                <w:szCs w:val="24"/>
              </w:rPr>
              <w:t>区教育局</w:t>
            </w:r>
          </w:p>
          <w:p w14:paraId="6839026B">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1A94C244">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2ECB7687">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1A7B943B">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区委编办</w:t>
            </w:r>
          </w:p>
          <w:p w14:paraId="35730FA2">
            <w:pPr>
              <w:spacing w:line="300" w:lineRule="exact"/>
              <w:jc w:val="center"/>
              <w:rPr>
                <w:rFonts w:ascii="仿宋_GB2312" w:hAnsi="宋体" w:eastAsia="仿宋_GB2312"/>
                <w:sz w:val="24"/>
                <w:szCs w:val="24"/>
              </w:rPr>
            </w:pPr>
            <w:r>
              <w:rPr>
                <w:rFonts w:hint="eastAsia" w:ascii="仿宋_GB2312" w:hAnsi="宋体" w:eastAsia="仿宋_GB2312"/>
                <w:sz w:val="24"/>
                <w:szCs w:val="24"/>
              </w:rPr>
              <w:t>区人力资源社会保障局</w:t>
            </w:r>
          </w:p>
          <w:p w14:paraId="4E815C19">
            <w:pPr>
              <w:spacing w:line="300" w:lineRule="exact"/>
              <w:jc w:val="center"/>
              <w:rPr>
                <w:rFonts w:ascii="仿宋_GB2312" w:hAnsi="宋体" w:eastAsia="仿宋_GB2312"/>
                <w:sz w:val="24"/>
                <w:szCs w:val="24"/>
              </w:rPr>
            </w:pPr>
            <w:r>
              <w:rPr>
                <w:rFonts w:hint="eastAsia" w:ascii="仿宋_GB2312" w:hAnsi="宋体" w:eastAsia="仿宋_GB2312"/>
                <w:sz w:val="24"/>
                <w:szCs w:val="24"/>
              </w:rPr>
              <w:t>滨江新区管委会</w:t>
            </w:r>
          </w:p>
          <w:p w14:paraId="1B5F2A2A">
            <w:pPr>
              <w:spacing w:line="300" w:lineRule="exact"/>
              <w:jc w:val="center"/>
              <w:rPr>
                <w:rFonts w:ascii="仿宋_GB2312" w:hAnsi="宋体" w:eastAsia="仿宋_GB2312"/>
                <w:sz w:val="24"/>
                <w:szCs w:val="24"/>
              </w:rPr>
            </w:pPr>
            <w:r>
              <w:rPr>
                <w:rFonts w:hint="eastAsia" w:ascii="仿宋_GB2312" w:hAnsi="宋体" w:eastAsia="仿宋_GB2312"/>
                <w:sz w:val="24"/>
                <w:szCs w:val="24"/>
              </w:rPr>
              <w:t>棠下镇</w:t>
            </w:r>
          </w:p>
          <w:p w14:paraId="23A39DBD">
            <w:pPr>
              <w:spacing w:line="300" w:lineRule="exact"/>
              <w:jc w:val="center"/>
              <w:rPr>
                <w:rFonts w:ascii="仿宋_GB2312" w:hAnsi="宋体" w:eastAsia="仿宋_GB2312"/>
                <w:sz w:val="24"/>
                <w:szCs w:val="24"/>
              </w:rPr>
            </w:pPr>
            <w:r>
              <w:rPr>
                <w:rFonts w:hint="eastAsia" w:ascii="仿宋_GB2312" w:hAnsi="宋体" w:eastAsia="仿宋_GB2312"/>
                <w:sz w:val="24"/>
                <w:szCs w:val="24"/>
              </w:rPr>
              <w:t>环市街</w:t>
            </w:r>
          </w:p>
        </w:tc>
        <w:tc>
          <w:tcPr>
            <w:tcW w:w="7187" w:type="dxa"/>
            <w:vAlign w:val="center"/>
          </w:tcPr>
          <w:p w14:paraId="1D80DF98">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E7200DD">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里仁小学：</w:t>
            </w:r>
            <w:r>
              <w:rPr>
                <w:rFonts w:hint="eastAsia" w:ascii="仿宋_GB2312" w:hAnsi="黑体" w:eastAsia="仿宋_GB2312" w:cs="Times New Roman"/>
                <w:sz w:val="24"/>
                <w:szCs w:val="24"/>
              </w:rPr>
              <w:t>土方平整开挖工作基本完成，桩机已进场施工，正在进行桩基工程。</w:t>
            </w:r>
          </w:p>
          <w:p w14:paraId="664B5008">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范罗冈小学滨江校区二期：</w:t>
            </w:r>
            <w:r>
              <w:rPr>
                <w:rFonts w:hint="eastAsia" w:ascii="仿宋_GB2312" w:hAnsi="黑体" w:eastAsia="仿宋_GB2312" w:cs="Times New Roman"/>
                <w:sz w:val="24"/>
                <w:szCs w:val="24"/>
              </w:rPr>
              <w:t>已编制项目可行性研究报告，工程立项已经区发改局审核批复，已选定由江门市建筑设计院作为设计单位，基本完成规划总平面设计方案。</w:t>
            </w:r>
          </w:p>
          <w:p w14:paraId="19029A99">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棠下中学综合楼：</w:t>
            </w:r>
            <w:r>
              <w:rPr>
                <w:rFonts w:hint="eastAsia" w:ascii="仿宋_GB2312" w:hAnsi="黑体" w:eastAsia="仿宋_GB2312" w:cs="Times New Roman"/>
                <w:sz w:val="24"/>
                <w:szCs w:val="24"/>
              </w:rPr>
              <w:t xml:space="preserve">已编制项目可行性研究报告，工程立项已完成，规划总平面设计图已公示完毕，单体规划设计方案已送规划部门。学校场地勘探工作已完成现场钻探，施工图设计同步进行中。 </w:t>
            </w:r>
          </w:p>
          <w:p w14:paraId="0028318B">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江门市实验中学扩建工程：</w:t>
            </w:r>
            <w:r>
              <w:rPr>
                <w:rFonts w:hint="eastAsia" w:ascii="仿宋_GB2312" w:hAnsi="黑体" w:eastAsia="仿宋_GB2312" w:cs="Times New Roman"/>
                <w:sz w:val="24"/>
                <w:szCs w:val="24"/>
              </w:rPr>
              <w:t>运动场建设用地18.3亩(现实际为19.15亩)已完成土地收储，已完成“项目选址意见书”、“建设用地规划许可证”、“用地预审工作”及“项目立项”等的办理。国土测量队已测量出具“宗地图”，相关资料已送交市自然资源局，运动场平面方案已送市规划部门，详细施工图已基本完成。</w:t>
            </w:r>
          </w:p>
          <w:p w14:paraId="00256FB1">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蓬江区特殊教育学校的建设：</w:t>
            </w:r>
            <w:r>
              <w:rPr>
                <w:rFonts w:hint="eastAsia" w:ascii="仿宋_GB2312" w:hAnsi="黑体" w:eastAsia="仿宋_GB2312" w:cs="Times New Roman"/>
                <w:sz w:val="24"/>
                <w:szCs w:val="24"/>
              </w:rPr>
              <w:t>项目进入整体规划设计阶段，由长宇（珠海）国际建筑设计有限公司进行设计工作；拟从区内学校教师中确定了14名候选名单组建师资队伍，等待最终选定；学校机构设立申办正由区教育局与区编办沟通协调中。经研究，特殊学校改造工作分两个阶段进行，第一阶段装修改造工程设计方案已基本完成，将出具施工图。</w:t>
            </w:r>
          </w:p>
        </w:tc>
      </w:tr>
      <w:tr w14:paraId="259B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543" w:type="dxa"/>
            <w:vAlign w:val="center"/>
          </w:tcPr>
          <w:p w14:paraId="670F6678">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9ACB4D3">
            <w:pPr>
              <w:spacing w:line="300" w:lineRule="exact"/>
              <w:rPr>
                <w:rFonts w:ascii="仿宋_GB2312" w:hAnsi="宋体" w:eastAsia="仿宋_GB2312"/>
                <w:sz w:val="24"/>
                <w:szCs w:val="24"/>
              </w:rPr>
            </w:pPr>
            <w:r>
              <w:rPr>
                <w:rFonts w:hint="eastAsia" w:ascii="仿宋_GB2312" w:hAnsi="宋体" w:eastAsia="仿宋_GB2312"/>
                <w:sz w:val="24"/>
                <w:szCs w:val="24"/>
              </w:rPr>
              <w:t>继续引进优质民办教育，探索民办教育多元合作办学和投资新机制。力争广东实验中学附属江门学校尽快动工。</w:t>
            </w:r>
            <w:r>
              <w:rPr>
                <w:rFonts w:hint="eastAsia" w:ascii="仿宋_GB2312" w:hAnsi="宋体" w:eastAsia="仿宋_GB2312"/>
                <w:b/>
                <w:sz w:val="24"/>
                <w:szCs w:val="24"/>
              </w:rPr>
              <w:t>（牵头单位：区教育局）</w:t>
            </w:r>
          </w:p>
        </w:tc>
        <w:tc>
          <w:tcPr>
            <w:tcW w:w="1134" w:type="dxa"/>
            <w:vAlign w:val="center"/>
          </w:tcPr>
          <w:p w14:paraId="52FD8BB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59F7123C">
            <w:pPr>
              <w:spacing w:line="300" w:lineRule="exact"/>
              <w:jc w:val="center"/>
              <w:rPr>
                <w:rFonts w:ascii="仿宋_GB2312" w:hAnsi="宋体" w:eastAsia="仿宋_GB2312"/>
                <w:sz w:val="24"/>
                <w:szCs w:val="24"/>
              </w:rPr>
            </w:pPr>
            <w:r>
              <w:rPr>
                <w:rFonts w:hint="eastAsia" w:ascii="仿宋_GB2312" w:hAnsi="宋体" w:eastAsia="仿宋_GB2312"/>
                <w:sz w:val="24"/>
                <w:szCs w:val="24"/>
              </w:rPr>
              <w:t>区教育局</w:t>
            </w:r>
          </w:p>
          <w:p w14:paraId="2EA371B7">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02A07756">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31E44CBB">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711B7DBB">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0444A9C2">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1F1895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已完成广东实验中学附属江门用地招拍挂工作，现正报建临水、临电，已完成规划设计方案。</w:t>
            </w:r>
          </w:p>
        </w:tc>
      </w:tr>
      <w:tr w14:paraId="1816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543" w:type="dxa"/>
            <w:vAlign w:val="center"/>
          </w:tcPr>
          <w:p w14:paraId="6F23BF84">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E6419FE">
            <w:pPr>
              <w:spacing w:line="300" w:lineRule="exact"/>
              <w:rPr>
                <w:rFonts w:ascii="仿宋_GB2312" w:hAnsi="宋体" w:eastAsia="仿宋_GB2312"/>
                <w:sz w:val="24"/>
                <w:szCs w:val="24"/>
              </w:rPr>
            </w:pPr>
            <w:r>
              <w:rPr>
                <w:rFonts w:hint="eastAsia" w:ascii="仿宋_GB2312" w:hAnsi="宋体" w:eastAsia="仿宋_GB2312"/>
                <w:sz w:val="24"/>
                <w:szCs w:val="24"/>
              </w:rPr>
              <w:t>全力以赴做好省人民政府对市县政府履行教育职责考核迎检工作。</w:t>
            </w:r>
            <w:r>
              <w:rPr>
                <w:rFonts w:hint="eastAsia" w:ascii="仿宋_GB2312" w:hAnsi="宋体" w:eastAsia="仿宋_GB2312"/>
                <w:b/>
                <w:sz w:val="24"/>
                <w:szCs w:val="24"/>
              </w:rPr>
              <w:t>（牵头单位：区教育局）</w:t>
            </w:r>
          </w:p>
        </w:tc>
        <w:tc>
          <w:tcPr>
            <w:tcW w:w="1134" w:type="dxa"/>
            <w:vAlign w:val="center"/>
          </w:tcPr>
          <w:p w14:paraId="68A3A66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38A629AA">
            <w:pPr>
              <w:spacing w:line="300" w:lineRule="exact"/>
              <w:jc w:val="center"/>
              <w:rPr>
                <w:rFonts w:ascii="仿宋_GB2312" w:hAnsi="宋体" w:eastAsia="仿宋_GB2312"/>
                <w:sz w:val="24"/>
                <w:szCs w:val="24"/>
              </w:rPr>
            </w:pPr>
            <w:r>
              <w:rPr>
                <w:rFonts w:hint="eastAsia" w:ascii="仿宋_GB2312" w:hAnsi="宋体" w:eastAsia="仿宋_GB2312"/>
                <w:sz w:val="24"/>
                <w:szCs w:val="24"/>
              </w:rPr>
              <w:t>区教育局</w:t>
            </w:r>
          </w:p>
          <w:p w14:paraId="3543EADE">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178A0E98">
            <w:pPr>
              <w:spacing w:line="300" w:lineRule="exact"/>
              <w:jc w:val="center"/>
              <w:rPr>
                <w:rFonts w:ascii="仿宋_GB2312" w:hAnsi="宋体" w:eastAsia="仿宋_GB2312"/>
                <w:sz w:val="24"/>
                <w:szCs w:val="24"/>
              </w:rPr>
            </w:pPr>
            <w:r>
              <w:rPr>
                <w:rFonts w:hint="eastAsia" w:ascii="仿宋_GB2312" w:hAnsi="宋体" w:eastAsia="仿宋_GB2312"/>
                <w:sz w:val="24"/>
                <w:szCs w:val="24"/>
              </w:rPr>
              <w:t>区人力资源社会保障局</w:t>
            </w:r>
          </w:p>
          <w:p w14:paraId="13DBF1E5">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60232764">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3855620D">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682F603C">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8C54B0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1.正查找存在问题，剖析产生原因，提出整改措施。</w:t>
            </w:r>
          </w:p>
          <w:p w14:paraId="023F5A1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2.已初步制订《蓬江区接受省人民政府对市县政府履行教育职责评价考核工作实施方案》。</w:t>
            </w:r>
          </w:p>
          <w:p w14:paraId="1297637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3.正制定考评档案目录，收集整理有关资料和收集数据。</w:t>
            </w:r>
          </w:p>
        </w:tc>
      </w:tr>
      <w:tr w14:paraId="30F2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543" w:type="dxa"/>
            <w:vAlign w:val="center"/>
          </w:tcPr>
          <w:p w14:paraId="0EA27A80">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5F95FA5">
            <w:pPr>
              <w:spacing w:line="300" w:lineRule="exact"/>
              <w:rPr>
                <w:rFonts w:ascii="仿宋_GB2312" w:hAnsi="宋体" w:eastAsia="仿宋_GB2312"/>
                <w:sz w:val="24"/>
                <w:szCs w:val="24"/>
              </w:rPr>
            </w:pPr>
            <w:r>
              <w:rPr>
                <w:rFonts w:hint="eastAsia" w:ascii="仿宋_GB2312" w:hAnsi="宋体" w:eastAsia="仿宋_GB2312"/>
                <w:sz w:val="24"/>
                <w:szCs w:val="24"/>
              </w:rPr>
              <w:t>落实市委、市政府“公共文化事业建设年”行动，以打造全省公共文化服务体系示范区为抓手，推动区、镇（街）、村（居）三级文化场馆和文明实践中心（所、站）建设，其中荷塘镇、环市街按照特级文化站标准、其他镇（街）按照一级文化站标准进行打造，进一步完善城乡十分钟文化圈。</w:t>
            </w:r>
            <w:r>
              <w:rPr>
                <w:rFonts w:hint="eastAsia" w:ascii="仿宋_GB2312" w:hAnsi="宋体" w:eastAsia="仿宋_GB2312"/>
                <w:b/>
                <w:sz w:val="24"/>
                <w:szCs w:val="24"/>
              </w:rPr>
              <w:t>（牵头单位：区文化广电旅游体育局）</w:t>
            </w:r>
          </w:p>
        </w:tc>
        <w:tc>
          <w:tcPr>
            <w:tcW w:w="1134" w:type="dxa"/>
            <w:vAlign w:val="center"/>
          </w:tcPr>
          <w:p w14:paraId="5B13BD7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  莲</w:t>
            </w:r>
          </w:p>
        </w:tc>
        <w:tc>
          <w:tcPr>
            <w:tcW w:w="3119" w:type="dxa"/>
            <w:vAlign w:val="center"/>
          </w:tcPr>
          <w:p w14:paraId="28D9D530">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区文化广电旅游体育局</w:t>
            </w:r>
          </w:p>
          <w:p w14:paraId="13DD1B33">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区文明办</w:t>
            </w:r>
          </w:p>
          <w:p w14:paraId="7653108C">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555551B8">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1692D0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1.区图书馆已建成分馆4个，服务点9个，剩余2个分馆及9个服务点已经全部确定选点；区文化馆已建成分馆2个，服务点8个，剩余4个分馆及10个服务点已确定建设选点，部分已动工建设。 已印发《关于加快蓬江区文化馆图书馆总分馆建设进度的通知》（蓬江文广旅体发〔2019〕18号）。</w:t>
            </w:r>
          </w:p>
          <w:p w14:paraId="1BC2DED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2.现正完善村（居）综合性文化服务中心设施，增设4个“村居欢乐送”示范点。</w:t>
            </w:r>
          </w:p>
          <w:p w14:paraId="5EBFEF3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各镇、街选定6个实践所、12个实践站试点进行重点打造。同时，结合乡村振兴实绩检查工作，对镇、村文明实践所、站建设进行实地考察和指导；区级新时代文明实践中心正在进行场地布置和宣传氛围营造，将于4月底投入使用。</w:t>
            </w:r>
          </w:p>
          <w:p w14:paraId="461A5B3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4.已对区文化中心工地进行围闭，并对设计方案进行专家论证。</w:t>
            </w:r>
          </w:p>
        </w:tc>
      </w:tr>
      <w:tr w14:paraId="5D91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543" w:type="dxa"/>
            <w:vAlign w:val="center"/>
          </w:tcPr>
          <w:p w14:paraId="4391FCA5">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EE72BDB">
            <w:pPr>
              <w:spacing w:line="300" w:lineRule="exact"/>
              <w:rPr>
                <w:rFonts w:ascii="仿宋_GB2312" w:hAnsi="宋体" w:eastAsia="仿宋_GB2312"/>
                <w:sz w:val="24"/>
                <w:szCs w:val="24"/>
              </w:rPr>
            </w:pPr>
            <w:r>
              <w:rPr>
                <w:rFonts w:hint="eastAsia" w:ascii="仿宋_GB2312" w:hAnsi="宋体" w:eastAsia="仿宋_GB2312"/>
                <w:sz w:val="24"/>
                <w:szCs w:val="24"/>
              </w:rPr>
              <w:t>提升陈白沙、陈垣、戴爱莲、良溪古村等本土文化品牌，引进国内外大型文体赛事，增强地方吸引力和知名度。</w:t>
            </w:r>
            <w:r>
              <w:rPr>
                <w:rFonts w:hint="eastAsia" w:ascii="仿宋_GB2312" w:hAnsi="宋体" w:eastAsia="仿宋_GB2312"/>
                <w:b/>
                <w:sz w:val="24"/>
                <w:szCs w:val="24"/>
              </w:rPr>
              <w:t>（牵头单位：区文化广电旅游体育局）</w:t>
            </w:r>
          </w:p>
        </w:tc>
        <w:tc>
          <w:tcPr>
            <w:tcW w:w="1134" w:type="dxa"/>
            <w:vAlign w:val="center"/>
          </w:tcPr>
          <w:p w14:paraId="731381CD">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  莲</w:t>
            </w:r>
          </w:p>
        </w:tc>
        <w:tc>
          <w:tcPr>
            <w:tcW w:w="3119" w:type="dxa"/>
            <w:vAlign w:val="center"/>
          </w:tcPr>
          <w:p w14:paraId="01C649F3">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区文化广电旅游体育局</w:t>
            </w:r>
          </w:p>
          <w:p w14:paraId="307FC814">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区文联</w:t>
            </w:r>
          </w:p>
          <w:p w14:paraId="7F0EAA20">
            <w:pPr>
              <w:spacing w:line="300" w:lineRule="exact"/>
              <w:jc w:val="center"/>
              <w:rPr>
                <w:rFonts w:ascii="仿宋_GB2312" w:hAnsi="宋体" w:eastAsia="仿宋_GB2312"/>
                <w:sz w:val="24"/>
                <w:szCs w:val="24"/>
              </w:rPr>
            </w:pPr>
            <w:r>
              <w:rPr>
                <w:rFonts w:hint="eastAsia" w:ascii="仿宋_GB2312" w:hAnsi="宋体" w:eastAsia="仿宋_GB2312"/>
                <w:sz w:val="24"/>
                <w:szCs w:val="24"/>
              </w:rPr>
              <w:t>棠下镇</w:t>
            </w:r>
          </w:p>
          <w:p w14:paraId="6CD00F99">
            <w:pPr>
              <w:spacing w:line="300" w:lineRule="exact"/>
              <w:jc w:val="center"/>
              <w:rPr>
                <w:rFonts w:ascii="仿宋_GB2312" w:hAnsi="宋体" w:eastAsia="仿宋_GB2312"/>
                <w:sz w:val="24"/>
                <w:szCs w:val="24"/>
              </w:rPr>
            </w:pPr>
            <w:r>
              <w:rPr>
                <w:rFonts w:hint="eastAsia" w:ascii="仿宋_GB2312" w:hAnsi="宋体" w:eastAsia="仿宋_GB2312"/>
                <w:sz w:val="24"/>
                <w:szCs w:val="24"/>
              </w:rPr>
              <w:t>杜阮镇</w:t>
            </w:r>
          </w:p>
          <w:p w14:paraId="49864B29">
            <w:pPr>
              <w:spacing w:line="300" w:lineRule="exact"/>
              <w:jc w:val="center"/>
              <w:rPr>
                <w:rFonts w:ascii="仿宋_GB2312" w:hAnsi="宋体" w:eastAsia="仿宋_GB2312"/>
                <w:sz w:val="24"/>
                <w:szCs w:val="24"/>
              </w:rPr>
            </w:pPr>
            <w:r>
              <w:rPr>
                <w:rFonts w:hint="eastAsia" w:ascii="仿宋_GB2312" w:hAnsi="宋体" w:eastAsia="仿宋_GB2312"/>
                <w:sz w:val="24"/>
                <w:szCs w:val="24"/>
              </w:rPr>
              <w:t>白沙街</w:t>
            </w:r>
          </w:p>
        </w:tc>
        <w:tc>
          <w:tcPr>
            <w:tcW w:w="7187" w:type="dxa"/>
            <w:vAlign w:val="center"/>
          </w:tcPr>
          <w:p w14:paraId="3E33B490">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3A70EF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1.现正开展白沙文化节前期准备工作。</w:t>
            </w:r>
          </w:p>
          <w:p w14:paraId="076B4B0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2.正在开展“陈垣书屋”（24小时自助图书馆）选点工作。</w:t>
            </w:r>
          </w:p>
          <w:p w14:paraId="2EE802C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3.已完成2019“戴爱莲杯”人人跳全国舞蹈展演活动方案，已完成参展节目收集，已确定活动场地，已完成策划公司招标工作。</w:t>
            </w:r>
          </w:p>
          <w:p w14:paraId="1650C16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4.已完成罗氏大宗祠维修方案；正在物色具有资质的开发公司对良溪古村落进行保护开发。</w:t>
            </w:r>
          </w:p>
          <w:p w14:paraId="40E3C7E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5.正密切跟进成立2019年世界排球联赛（广东</w:t>
            </w:r>
            <w:r>
              <w:rPr>
                <w:rFonts w:hint="eastAsia" w:ascii="宋体" w:hAnsi="宋体" w:cs="宋体"/>
                <w:sz w:val="24"/>
                <w:szCs w:val="24"/>
              </w:rPr>
              <w:t>•</w:t>
            </w:r>
            <w:r>
              <w:rPr>
                <w:rFonts w:hint="eastAsia" w:ascii="仿宋_GB2312" w:hAnsi="仿宋_GB2312" w:eastAsia="仿宋_GB2312" w:cs="仿宋_GB2312"/>
                <w:sz w:val="24"/>
                <w:szCs w:val="24"/>
              </w:rPr>
              <w:t>江门）赛区</w:t>
            </w:r>
            <w:r>
              <w:rPr>
                <w:rFonts w:hint="eastAsia" w:ascii="仿宋_GB2312" w:hAnsi="黑体" w:eastAsia="仿宋_GB2312" w:cs="Times New Roman"/>
                <w:sz w:val="24"/>
                <w:szCs w:val="24"/>
              </w:rPr>
              <w:t>组委会工作。</w:t>
            </w:r>
          </w:p>
        </w:tc>
      </w:tr>
      <w:tr w14:paraId="1E93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543" w:type="dxa"/>
            <w:vAlign w:val="center"/>
          </w:tcPr>
          <w:p w14:paraId="35CCA820">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047F1234">
            <w:pPr>
              <w:spacing w:line="300" w:lineRule="exact"/>
              <w:rPr>
                <w:rFonts w:ascii="仿宋_GB2312" w:hAnsi="宋体" w:eastAsia="仿宋_GB2312"/>
                <w:sz w:val="24"/>
                <w:szCs w:val="24"/>
              </w:rPr>
            </w:pPr>
            <w:r>
              <w:rPr>
                <w:rFonts w:hint="eastAsia" w:ascii="仿宋_GB2312" w:hAnsi="宋体" w:eastAsia="仿宋_GB2312"/>
                <w:sz w:val="24"/>
                <w:szCs w:val="24"/>
              </w:rPr>
              <w:t>办好红色文化大讲堂，打造具有蓬江特色的政治理论学习品牌。</w:t>
            </w:r>
            <w:r>
              <w:rPr>
                <w:rFonts w:hint="eastAsia" w:ascii="仿宋_GB2312" w:hAnsi="宋体" w:eastAsia="仿宋_GB2312"/>
                <w:b/>
                <w:sz w:val="24"/>
                <w:szCs w:val="24"/>
              </w:rPr>
              <w:t>（牵头单位：区委宣传部）</w:t>
            </w:r>
          </w:p>
        </w:tc>
        <w:tc>
          <w:tcPr>
            <w:tcW w:w="1134" w:type="dxa"/>
            <w:vAlign w:val="center"/>
          </w:tcPr>
          <w:p w14:paraId="76A765BC">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  莲</w:t>
            </w:r>
          </w:p>
        </w:tc>
        <w:tc>
          <w:tcPr>
            <w:tcW w:w="3119" w:type="dxa"/>
            <w:vAlign w:val="center"/>
          </w:tcPr>
          <w:p w14:paraId="034F4FE7">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区委宣传部</w:t>
            </w:r>
          </w:p>
          <w:p w14:paraId="22B1464C">
            <w:pPr>
              <w:spacing w:line="300" w:lineRule="exact"/>
              <w:jc w:val="center"/>
              <w:rPr>
                <w:rFonts w:ascii="仿宋_GB2312" w:hAnsi="宋体" w:eastAsia="仿宋_GB2312"/>
                <w:sz w:val="24"/>
                <w:szCs w:val="24"/>
              </w:rPr>
            </w:pPr>
            <w:r>
              <w:rPr>
                <w:rFonts w:hint="eastAsia" w:ascii="仿宋_GB2312" w:hAnsi="宋体" w:eastAsia="仿宋_GB2312"/>
                <w:sz w:val="24"/>
                <w:szCs w:val="24"/>
              </w:rPr>
              <w:t>各级党委（党组）</w:t>
            </w:r>
          </w:p>
        </w:tc>
        <w:tc>
          <w:tcPr>
            <w:tcW w:w="7187" w:type="dxa"/>
            <w:vAlign w:val="center"/>
          </w:tcPr>
          <w:p w14:paraId="3E84C4C4">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A6EDA8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1.已于</w:t>
            </w:r>
            <w:r>
              <w:rPr>
                <w:rFonts w:hint="eastAsia"/>
              </w:rPr>
              <w:t xml:space="preserve"> </w:t>
            </w:r>
            <w:r>
              <w:rPr>
                <w:rFonts w:hint="eastAsia" w:ascii="仿宋_GB2312" w:hAnsi="黑体" w:eastAsia="仿宋_GB2312" w:cs="Times New Roman"/>
                <w:sz w:val="24"/>
                <w:szCs w:val="24"/>
              </w:rPr>
              <w:t>1月10日举办区委理论学习中心组（扩大）学习会暨红色文化大讲堂（第一期），开讲“发扬优良传统，传承红色基因”，并作为区委理论学习中心组2019年第一季度学习内容。</w:t>
            </w:r>
          </w:p>
          <w:p w14:paraId="5593196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2.已联合江门电视台制作红色文化大讲堂视频资料，目前正在制作阶段。</w:t>
            </w:r>
          </w:p>
        </w:tc>
      </w:tr>
      <w:tr w14:paraId="1BDB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543" w:type="dxa"/>
            <w:vAlign w:val="center"/>
          </w:tcPr>
          <w:p w14:paraId="409B3968">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6804BA7A">
            <w:pPr>
              <w:spacing w:line="300" w:lineRule="exact"/>
              <w:rPr>
                <w:rFonts w:ascii="仿宋_GB2312" w:hAnsi="宋体" w:eastAsia="仿宋_GB2312"/>
                <w:sz w:val="24"/>
                <w:szCs w:val="24"/>
                <w:highlight w:val="yellow"/>
              </w:rPr>
            </w:pPr>
            <w:r>
              <w:rPr>
                <w:rFonts w:hint="eastAsia" w:ascii="仿宋_GB2312" w:hAnsi="宋体" w:eastAsia="仿宋_GB2312"/>
                <w:sz w:val="24"/>
                <w:szCs w:val="24"/>
              </w:rPr>
              <w:t>加快推进市档案中心建设。</w:t>
            </w:r>
            <w:r>
              <w:rPr>
                <w:rFonts w:hint="eastAsia" w:ascii="仿宋_GB2312" w:hAnsi="宋体" w:eastAsia="仿宋_GB2312"/>
                <w:b/>
                <w:sz w:val="24"/>
                <w:szCs w:val="24"/>
              </w:rPr>
              <w:t>（牵头单位：区国有资产监督管理局）</w:t>
            </w:r>
          </w:p>
        </w:tc>
        <w:tc>
          <w:tcPr>
            <w:tcW w:w="1134" w:type="dxa"/>
            <w:vAlign w:val="center"/>
          </w:tcPr>
          <w:p w14:paraId="05CE1BC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Align w:val="center"/>
          </w:tcPr>
          <w:p w14:paraId="539E81DD">
            <w:pPr>
              <w:spacing w:line="300" w:lineRule="exact"/>
              <w:jc w:val="center"/>
              <w:rPr>
                <w:rFonts w:ascii="仿宋_GB2312" w:hAnsi="宋体" w:eastAsia="仿宋_GB2312"/>
                <w:sz w:val="24"/>
                <w:szCs w:val="24"/>
              </w:rPr>
            </w:pPr>
            <w:r>
              <w:rPr>
                <w:rFonts w:hint="eastAsia" w:ascii="仿宋_GB2312" w:hAnsi="宋体" w:eastAsia="仿宋_GB2312"/>
                <w:sz w:val="24"/>
                <w:szCs w:val="24"/>
              </w:rPr>
              <w:t>区建管中心</w:t>
            </w:r>
          </w:p>
        </w:tc>
        <w:tc>
          <w:tcPr>
            <w:tcW w:w="7187" w:type="dxa"/>
            <w:vAlign w:val="center"/>
          </w:tcPr>
          <w:p w14:paraId="2D3CBD4C">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7FDB6B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1.江门市档案中心项目现场已用安全围挡封闭，地表杂草树木清理完毕，土地平整已完成50%；鱼塘排水工作已完成，待干燥后开展平整工作。</w:t>
            </w:r>
          </w:p>
          <w:p w14:paraId="3A68CA6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2.临建工程方案已确定，待建筑平面图确定后开始进场施工；勘察机械已组装完毕。</w:t>
            </w:r>
          </w:p>
        </w:tc>
      </w:tr>
      <w:tr w14:paraId="2FCF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43" w:type="dxa"/>
            <w:vAlign w:val="center"/>
          </w:tcPr>
          <w:p w14:paraId="36575315">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8A56536">
            <w:pPr>
              <w:spacing w:line="300" w:lineRule="exact"/>
              <w:rPr>
                <w:rFonts w:ascii="仿宋_GB2312" w:hAnsi="宋体" w:eastAsia="仿宋_GB2312"/>
                <w:sz w:val="24"/>
                <w:szCs w:val="24"/>
              </w:rPr>
            </w:pPr>
            <w:r>
              <w:rPr>
                <w:rFonts w:hint="eastAsia" w:ascii="仿宋_GB2312" w:hAnsi="宋体" w:eastAsia="仿宋_GB2312"/>
                <w:sz w:val="24"/>
                <w:szCs w:val="24"/>
              </w:rPr>
              <w:t>配合市推动五邑华侨华人博物馆创建成为国家一级博物馆。</w:t>
            </w:r>
            <w:r>
              <w:rPr>
                <w:rFonts w:hint="eastAsia" w:ascii="仿宋_GB2312" w:hAnsi="宋体" w:eastAsia="仿宋_GB2312"/>
                <w:b/>
                <w:sz w:val="24"/>
                <w:szCs w:val="24"/>
              </w:rPr>
              <w:t>（牵头单位：区文化广电旅游体育局）</w:t>
            </w:r>
          </w:p>
        </w:tc>
        <w:tc>
          <w:tcPr>
            <w:tcW w:w="1134" w:type="dxa"/>
            <w:vAlign w:val="center"/>
          </w:tcPr>
          <w:p w14:paraId="6480951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  莲</w:t>
            </w:r>
          </w:p>
        </w:tc>
        <w:tc>
          <w:tcPr>
            <w:tcW w:w="3119" w:type="dxa"/>
            <w:vAlign w:val="center"/>
          </w:tcPr>
          <w:p w14:paraId="26088C21">
            <w:pPr>
              <w:spacing w:line="300" w:lineRule="exact"/>
              <w:jc w:val="center"/>
              <w:rPr>
                <w:rFonts w:ascii="仿宋_GB2312" w:hAnsi="宋体" w:eastAsia="仿宋_GB2312"/>
                <w:sz w:val="24"/>
                <w:szCs w:val="24"/>
              </w:rPr>
            </w:pPr>
            <w:r>
              <w:rPr>
                <w:rFonts w:hint="eastAsia" w:ascii="仿宋_GB2312" w:hAnsi="宋体" w:eastAsia="仿宋_GB2312"/>
                <w:sz w:val="24"/>
                <w:szCs w:val="24"/>
              </w:rPr>
              <w:t>区文化广电旅游体育局</w:t>
            </w:r>
          </w:p>
        </w:tc>
        <w:tc>
          <w:tcPr>
            <w:tcW w:w="7187" w:type="dxa"/>
            <w:vAlign w:val="center"/>
          </w:tcPr>
          <w:p w14:paraId="0759AC46">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781316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现正配合市博物馆做好相关准备工作。</w:t>
            </w:r>
          </w:p>
        </w:tc>
      </w:tr>
      <w:tr w14:paraId="172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8" w:hRule="atLeast"/>
          <w:jc w:val="center"/>
        </w:trPr>
        <w:tc>
          <w:tcPr>
            <w:tcW w:w="543" w:type="dxa"/>
            <w:vAlign w:val="center"/>
          </w:tcPr>
          <w:p w14:paraId="6E67366C">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028489C6">
            <w:pPr>
              <w:spacing w:line="300" w:lineRule="exact"/>
              <w:rPr>
                <w:rFonts w:ascii="仿宋_GB2312" w:hAnsi="宋体" w:eastAsia="仿宋_GB2312"/>
                <w:sz w:val="24"/>
                <w:szCs w:val="24"/>
              </w:rPr>
            </w:pPr>
            <w:r>
              <w:rPr>
                <w:rFonts w:hint="eastAsia" w:ascii="仿宋_GB2312" w:hAnsi="宋体" w:eastAsia="仿宋_GB2312"/>
                <w:sz w:val="24"/>
                <w:szCs w:val="24"/>
              </w:rPr>
              <w:t>深化医药卫生体制改革，进一步完善分级诊疗制度，做实家庭医生签约服务。</w:t>
            </w:r>
            <w:r>
              <w:rPr>
                <w:rFonts w:hint="eastAsia" w:ascii="仿宋_GB2312" w:hAnsi="宋体" w:eastAsia="仿宋_GB2312"/>
                <w:b/>
                <w:sz w:val="24"/>
                <w:szCs w:val="24"/>
              </w:rPr>
              <w:t>（牵头单位：区卫生健康局）</w:t>
            </w:r>
          </w:p>
        </w:tc>
        <w:tc>
          <w:tcPr>
            <w:tcW w:w="1134" w:type="dxa"/>
            <w:vAlign w:val="center"/>
          </w:tcPr>
          <w:p w14:paraId="5F2D47A2">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王建新</w:t>
            </w:r>
          </w:p>
        </w:tc>
        <w:tc>
          <w:tcPr>
            <w:tcW w:w="3119" w:type="dxa"/>
            <w:vAlign w:val="center"/>
          </w:tcPr>
          <w:p w14:paraId="36DE74BF">
            <w:pPr>
              <w:spacing w:line="300" w:lineRule="exact"/>
              <w:jc w:val="center"/>
              <w:rPr>
                <w:rFonts w:ascii="仿宋_GB2312" w:hAnsi="宋体" w:eastAsia="仿宋_GB2312"/>
                <w:sz w:val="24"/>
                <w:szCs w:val="24"/>
              </w:rPr>
            </w:pPr>
            <w:r>
              <w:rPr>
                <w:rFonts w:hint="eastAsia" w:ascii="仿宋_GB2312" w:hAnsi="宋体" w:eastAsia="仿宋_GB2312"/>
                <w:sz w:val="24"/>
                <w:szCs w:val="24"/>
              </w:rPr>
              <w:t>区卫生健康局</w:t>
            </w:r>
          </w:p>
          <w:p w14:paraId="117C48B2">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60344214">
            <w:pPr>
              <w:spacing w:line="300" w:lineRule="exact"/>
              <w:jc w:val="center"/>
              <w:rPr>
                <w:rFonts w:ascii="仿宋_GB2312" w:hAnsi="宋体" w:eastAsia="仿宋_GB2312"/>
                <w:sz w:val="24"/>
                <w:szCs w:val="24"/>
              </w:rPr>
            </w:pPr>
            <w:r>
              <w:rPr>
                <w:rFonts w:hint="eastAsia" w:ascii="仿宋_GB2312" w:hAnsi="宋体" w:eastAsia="仿宋_GB2312"/>
                <w:sz w:val="24"/>
                <w:szCs w:val="24"/>
              </w:rPr>
              <w:t>区民政局</w:t>
            </w:r>
          </w:p>
          <w:p w14:paraId="3A96C551">
            <w:pPr>
              <w:spacing w:line="300" w:lineRule="exact"/>
              <w:jc w:val="center"/>
              <w:rPr>
                <w:rFonts w:ascii="仿宋_GB2312" w:hAnsi="宋体" w:eastAsia="仿宋_GB2312"/>
                <w:sz w:val="24"/>
                <w:szCs w:val="24"/>
              </w:rPr>
            </w:pPr>
            <w:r>
              <w:rPr>
                <w:rFonts w:hint="eastAsia" w:ascii="仿宋_GB2312" w:hAnsi="宋体" w:eastAsia="仿宋_GB2312"/>
                <w:sz w:val="24"/>
                <w:szCs w:val="24"/>
              </w:rPr>
              <w:t>区残联</w:t>
            </w:r>
          </w:p>
          <w:p w14:paraId="0F2026AA">
            <w:pPr>
              <w:spacing w:line="300" w:lineRule="exact"/>
              <w:jc w:val="center"/>
              <w:rPr>
                <w:rFonts w:ascii="仿宋_GB2312" w:hAnsi="宋体" w:eastAsia="仿宋_GB2312"/>
                <w:sz w:val="24"/>
                <w:szCs w:val="24"/>
              </w:rPr>
            </w:pPr>
            <w:r>
              <w:rPr>
                <w:rFonts w:hint="eastAsia" w:ascii="仿宋_GB2312" w:hAnsi="宋体" w:eastAsia="仿宋_GB2312"/>
                <w:sz w:val="24"/>
                <w:szCs w:val="24"/>
              </w:rPr>
              <w:t>区扶贫办</w:t>
            </w:r>
          </w:p>
        </w:tc>
        <w:tc>
          <w:tcPr>
            <w:tcW w:w="7187" w:type="dxa"/>
            <w:vAlign w:val="center"/>
          </w:tcPr>
          <w:p w14:paraId="65AB1F1C">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8BD86A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根据市的统一部署，组织全区5间公立医疗机构于2019年1月1日起落实了取消医用耗材加成，同步进行了医疗服务价格调整。已制定《江门市蓬江区公立医疗机构医疗服务价格调整社会稳定风险应急处置工作预案》（蓬江医改办〔2019〕1号），成立了应急处置协调工作组。</w:t>
            </w:r>
          </w:p>
          <w:p w14:paraId="6F724AB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2.正组织遴选专家进入江门市医疗机构药事管理专家库；按照市有关文件要求，落实药品跨区域联合集中采购，区有关公立医疗机构已开始通过该平台进行采购。</w:t>
            </w:r>
          </w:p>
          <w:p w14:paraId="5E92024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w:t>
            </w:r>
            <w:r>
              <w:rPr>
                <w:rFonts w:hint="eastAsia"/>
              </w:rPr>
              <w:t>已</w:t>
            </w:r>
            <w:r>
              <w:rPr>
                <w:rFonts w:hint="eastAsia" w:ascii="仿宋_GB2312" w:hAnsi="黑体" w:eastAsia="仿宋_GB2312" w:cs="Times New Roman"/>
                <w:sz w:val="24"/>
                <w:szCs w:val="24"/>
              </w:rPr>
              <w:t>成立蓬江区医疗联合体综合绩效考核评价工作小组，全面落实相关工作；继续推进分级诊疗建设，截至3月底，医联体内上转117人次，下转79人次，总院共下派31名专家到分院进行技术帮扶；杜阮镇卫生院及其总院市二医院已完成医联体法人统一工作。</w:t>
            </w:r>
          </w:p>
          <w:p w14:paraId="7603C46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4.已根据《江门市人民政府关于印发&lt;江门市深化公立医院综合改革行动方案&gt;的通知》，研究制定区级实施方案。</w:t>
            </w:r>
          </w:p>
          <w:p w14:paraId="39A7331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5.已制定《印发江门市蓬江区2019年基层卫生工作要点的通知》（蓬江卫〔2019〕29号），截至3月底全区残疾人签约率87.22%。</w:t>
            </w:r>
          </w:p>
        </w:tc>
      </w:tr>
      <w:tr w14:paraId="6AB7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543" w:type="dxa"/>
            <w:vAlign w:val="center"/>
          </w:tcPr>
          <w:p w14:paraId="5C1D5C44">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BECD6F8">
            <w:pPr>
              <w:spacing w:line="300" w:lineRule="exact"/>
              <w:rPr>
                <w:rFonts w:ascii="仿宋_GB2312" w:hAnsi="宋体" w:eastAsia="仿宋_GB2312"/>
                <w:sz w:val="24"/>
                <w:szCs w:val="24"/>
              </w:rPr>
            </w:pPr>
            <w:r>
              <w:rPr>
                <w:rFonts w:hint="eastAsia" w:ascii="仿宋_GB2312" w:hAnsi="宋体" w:eastAsia="仿宋_GB2312"/>
                <w:bCs/>
                <w:sz w:val="24"/>
                <w:szCs w:val="24"/>
              </w:rPr>
              <w:t>推进市二院建设养老中心建设，探索政府和市场合作试点的医养结合模式，鼓励社会力量兴办医养结合机构，谋划一批养老项目建设。</w:t>
            </w:r>
            <w:r>
              <w:rPr>
                <w:rFonts w:hint="eastAsia" w:ascii="仿宋_GB2312" w:hAnsi="宋体" w:eastAsia="仿宋_GB2312"/>
                <w:b/>
                <w:sz w:val="24"/>
                <w:szCs w:val="24"/>
              </w:rPr>
              <w:t>（牵头单位：区卫生健康局）</w:t>
            </w:r>
          </w:p>
        </w:tc>
        <w:tc>
          <w:tcPr>
            <w:tcW w:w="1134" w:type="dxa"/>
            <w:vAlign w:val="center"/>
          </w:tcPr>
          <w:p w14:paraId="6999A2F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王建新</w:t>
            </w:r>
          </w:p>
        </w:tc>
        <w:tc>
          <w:tcPr>
            <w:tcW w:w="3119" w:type="dxa"/>
            <w:vAlign w:val="center"/>
          </w:tcPr>
          <w:p w14:paraId="68072810">
            <w:pPr>
              <w:spacing w:line="300" w:lineRule="exact"/>
              <w:jc w:val="center"/>
              <w:rPr>
                <w:rFonts w:ascii="仿宋_GB2312" w:hAnsi="宋体" w:eastAsia="仿宋_GB2312"/>
                <w:sz w:val="24"/>
                <w:szCs w:val="24"/>
              </w:rPr>
            </w:pPr>
            <w:r>
              <w:rPr>
                <w:rFonts w:hint="eastAsia" w:ascii="仿宋_GB2312" w:hAnsi="宋体" w:eastAsia="仿宋_GB2312"/>
                <w:sz w:val="24"/>
                <w:szCs w:val="24"/>
              </w:rPr>
              <w:t>区卫生健康局</w:t>
            </w:r>
          </w:p>
          <w:p w14:paraId="42365212">
            <w:pPr>
              <w:spacing w:line="300" w:lineRule="exact"/>
              <w:jc w:val="center"/>
              <w:rPr>
                <w:rFonts w:ascii="仿宋_GB2312" w:hAnsi="宋体" w:eastAsia="仿宋_GB2312"/>
                <w:sz w:val="24"/>
                <w:szCs w:val="24"/>
              </w:rPr>
            </w:pPr>
            <w:r>
              <w:rPr>
                <w:rFonts w:hint="eastAsia" w:ascii="仿宋_GB2312" w:hAnsi="宋体" w:eastAsia="仿宋_GB2312"/>
                <w:sz w:val="24"/>
                <w:szCs w:val="24"/>
              </w:rPr>
              <w:t>区民政局</w:t>
            </w:r>
          </w:p>
          <w:p w14:paraId="5A966361">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73250BC9">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02595EC1">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00873ACA">
            <w:pPr>
              <w:spacing w:line="300" w:lineRule="exact"/>
              <w:jc w:val="center"/>
              <w:rPr>
                <w:rFonts w:ascii="仿宋_GB2312" w:hAnsi="宋体" w:eastAsia="仿宋_GB2312"/>
                <w:sz w:val="24"/>
                <w:szCs w:val="24"/>
              </w:rPr>
            </w:pPr>
            <w:r>
              <w:rPr>
                <w:rFonts w:hint="eastAsia" w:ascii="仿宋_GB2312" w:hAnsi="宋体" w:eastAsia="仿宋_GB2312"/>
                <w:sz w:val="24"/>
                <w:szCs w:val="24"/>
              </w:rPr>
              <w:t>区住房城乡建设局</w:t>
            </w:r>
          </w:p>
          <w:p w14:paraId="2576ED9E">
            <w:pPr>
              <w:spacing w:line="300" w:lineRule="exact"/>
              <w:jc w:val="center"/>
              <w:rPr>
                <w:rFonts w:ascii="仿宋_GB2312" w:hAnsi="宋体" w:eastAsia="仿宋_GB2312"/>
                <w:sz w:val="24"/>
                <w:szCs w:val="24"/>
              </w:rPr>
            </w:pPr>
            <w:r>
              <w:rPr>
                <w:rFonts w:hint="eastAsia" w:ascii="仿宋_GB2312" w:hAnsi="宋体" w:eastAsia="仿宋_GB2312"/>
                <w:sz w:val="24"/>
                <w:szCs w:val="24"/>
              </w:rPr>
              <w:t>区国有资产监管局</w:t>
            </w:r>
          </w:p>
          <w:p w14:paraId="26FD139C">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1FC3D814">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296F15A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w:t>
            </w:r>
            <w:r>
              <w:rPr>
                <w:rFonts w:hint="eastAsia" w:ascii="仿宋_GB2312" w:eastAsia="仿宋_GB2312"/>
                <w:sz w:val="24"/>
                <w:szCs w:val="24"/>
              </w:rPr>
              <w:t>已</w:t>
            </w:r>
            <w:r>
              <w:rPr>
                <w:rFonts w:hint="eastAsia" w:ascii="仿宋_GB2312" w:hAnsi="黑体" w:eastAsia="仿宋_GB2312" w:cs="Times New Roman"/>
                <w:sz w:val="24"/>
                <w:szCs w:val="24"/>
              </w:rPr>
              <w:t>到新会星光园养老中心调研医养结合工作，协调新会新希望医疗集团到市二医院研讨医疗、养老等可合作项目。</w:t>
            </w:r>
          </w:p>
          <w:p w14:paraId="645DF22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区民政局联合消防等部门到杜阮镇颐养院开展调研，通过一事一议的模式解决养老院消防决审验历史遗留问题，力争该院在消防达标的情况下进行改、扩、建设成为江门蓬江安老养老医院，同时推进“医养结合”工作。</w:t>
            </w:r>
          </w:p>
        </w:tc>
      </w:tr>
      <w:tr w14:paraId="6F97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543" w:type="dxa"/>
            <w:vAlign w:val="center"/>
          </w:tcPr>
          <w:p w14:paraId="1D86F289">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512578C">
            <w:pPr>
              <w:spacing w:line="300" w:lineRule="exact"/>
              <w:rPr>
                <w:rFonts w:ascii="仿宋_GB2312" w:hAnsi="宋体" w:eastAsia="仿宋_GB2312"/>
                <w:sz w:val="24"/>
                <w:szCs w:val="24"/>
              </w:rPr>
            </w:pPr>
            <w:r>
              <w:rPr>
                <w:rFonts w:hint="eastAsia" w:ascii="仿宋_GB2312" w:hAnsi="宋体" w:eastAsia="仿宋_GB2312"/>
                <w:sz w:val="24"/>
                <w:szCs w:val="24"/>
              </w:rPr>
              <w:t>财政安排民生支出27.32亿元，占财政支出的67.73%，重点推进一批民生实事。</w:t>
            </w:r>
            <w:r>
              <w:rPr>
                <w:rFonts w:hint="eastAsia" w:ascii="仿宋_GB2312" w:hAnsi="宋体" w:eastAsia="仿宋_GB2312"/>
                <w:b/>
                <w:sz w:val="24"/>
                <w:szCs w:val="24"/>
              </w:rPr>
              <w:t>（牵头单位：区财政局）</w:t>
            </w:r>
          </w:p>
        </w:tc>
        <w:tc>
          <w:tcPr>
            <w:tcW w:w="1134" w:type="dxa"/>
            <w:vAlign w:val="center"/>
          </w:tcPr>
          <w:p w14:paraId="09CB5439">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郑丹辉</w:t>
            </w:r>
          </w:p>
        </w:tc>
        <w:tc>
          <w:tcPr>
            <w:tcW w:w="3119" w:type="dxa"/>
            <w:vAlign w:val="center"/>
          </w:tcPr>
          <w:p w14:paraId="511717E0">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2949A4C6">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w:t>
            </w:r>
          </w:p>
          <w:p w14:paraId="3FE8B762">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30CDD4F3">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E708E8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一季度民生支出70243万元，占一般公共预算总支出的69.23%。</w:t>
            </w:r>
          </w:p>
        </w:tc>
      </w:tr>
      <w:tr w14:paraId="7749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543" w:type="dxa"/>
            <w:vAlign w:val="center"/>
          </w:tcPr>
          <w:p w14:paraId="41860B9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BFF4211">
            <w:pPr>
              <w:spacing w:line="300" w:lineRule="exact"/>
              <w:rPr>
                <w:rFonts w:ascii="仿宋_GB2312" w:hAnsi="宋体" w:eastAsia="仿宋_GB2312"/>
                <w:sz w:val="24"/>
                <w:szCs w:val="24"/>
              </w:rPr>
            </w:pPr>
            <w:r>
              <w:rPr>
                <w:rFonts w:hint="eastAsia" w:ascii="仿宋_GB2312" w:hAnsi="宋体" w:eastAsia="仿宋_GB2312"/>
                <w:sz w:val="24"/>
                <w:szCs w:val="24"/>
              </w:rPr>
              <w:t>坚决打好精准脱贫攻坚战，推进扶贫线与低保线“两线合一”，基本建立起常态化、全覆盖的城乡扶贫长效机制。</w:t>
            </w:r>
            <w:r>
              <w:rPr>
                <w:rFonts w:hint="eastAsia" w:ascii="仿宋_GB2312" w:hAnsi="宋体" w:eastAsia="仿宋_GB2312"/>
                <w:b/>
                <w:sz w:val="24"/>
                <w:szCs w:val="24"/>
              </w:rPr>
              <w:t>（牵头单位：区扶贫办）</w:t>
            </w:r>
          </w:p>
        </w:tc>
        <w:tc>
          <w:tcPr>
            <w:tcW w:w="1134" w:type="dxa"/>
            <w:vAlign w:val="center"/>
          </w:tcPr>
          <w:p w14:paraId="2218FFBC">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1D0D6F01">
            <w:pPr>
              <w:spacing w:line="300" w:lineRule="exact"/>
              <w:jc w:val="center"/>
              <w:rPr>
                <w:rFonts w:ascii="仿宋_GB2312" w:hAnsi="宋体" w:eastAsia="仿宋_GB2312"/>
                <w:sz w:val="24"/>
                <w:szCs w:val="24"/>
              </w:rPr>
            </w:pPr>
            <w:r>
              <w:rPr>
                <w:rFonts w:hint="eastAsia" w:ascii="仿宋_GB2312" w:hAnsi="宋体" w:eastAsia="仿宋_GB2312"/>
                <w:sz w:val="24"/>
                <w:szCs w:val="24"/>
              </w:rPr>
              <w:t>区扶贫办</w:t>
            </w:r>
          </w:p>
          <w:p w14:paraId="3C4BC035">
            <w:pPr>
              <w:spacing w:line="300" w:lineRule="exact"/>
              <w:jc w:val="center"/>
              <w:rPr>
                <w:rFonts w:ascii="仿宋_GB2312" w:hAnsi="宋体" w:eastAsia="仿宋_GB2312"/>
                <w:sz w:val="24"/>
                <w:szCs w:val="24"/>
              </w:rPr>
            </w:pPr>
            <w:r>
              <w:rPr>
                <w:rFonts w:hint="eastAsia" w:ascii="仿宋_GB2312" w:hAnsi="宋体" w:eastAsia="仿宋_GB2312"/>
                <w:sz w:val="24"/>
                <w:szCs w:val="24"/>
              </w:rPr>
              <w:t>区民政局</w:t>
            </w:r>
          </w:p>
          <w:p w14:paraId="2032A24E">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73D2C888">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CEF81C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起草《关于江门市蓬江区推动扶贫线与低保线“两线合一”改革试点工作的实施方案》、《江门市蓬江区关于推进扶贫线与低保线“两线合一”长效帮扶机制三年扶贫行动方案（2018- 2020年）》，正在征求意见阶段。</w:t>
            </w:r>
          </w:p>
          <w:p w14:paraId="1E718A7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2.增加帮扶对象的医疗保障，支付28.56万元作为952名2016-2018年精准扶贫帮扶对象购买商业重大疾病保险。</w:t>
            </w:r>
          </w:p>
        </w:tc>
      </w:tr>
      <w:tr w14:paraId="602A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543" w:type="dxa"/>
            <w:vAlign w:val="center"/>
          </w:tcPr>
          <w:p w14:paraId="0085FA7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0E21684">
            <w:pPr>
              <w:spacing w:line="300" w:lineRule="exact"/>
              <w:rPr>
                <w:rFonts w:ascii="仿宋_GB2312" w:hAnsi="宋体" w:eastAsia="仿宋_GB2312"/>
                <w:sz w:val="24"/>
                <w:szCs w:val="24"/>
              </w:rPr>
            </w:pPr>
            <w:r>
              <w:rPr>
                <w:rFonts w:hint="eastAsia" w:ascii="仿宋_GB2312" w:hAnsi="宋体" w:eastAsia="仿宋_GB2312"/>
                <w:sz w:val="24"/>
                <w:szCs w:val="24"/>
              </w:rPr>
              <w:t>落实对口扶贫协作“携手奔小康”行动，推动广西天等县脱贫摘帽。</w:t>
            </w:r>
            <w:r>
              <w:rPr>
                <w:rFonts w:hint="eastAsia" w:ascii="仿宋_GB2312" w:hAnsi="宋体" w:eastAsia="仿宋_GB2312"/>
                <w:b/>
                <w:sz w:val="24"/>
                <w:szCs w:val="24"/>
              </w:rPr>
              <w:t>（牵头单位：区扶贫办）</w:t>
            </w:r>
          </w:p>
        </w:tc>
        <w:tc>
          <w:tcPr>
            <w:tcW w:w="1134" w:type="dxa"/>
            <w:vAlign w:val="center"/>
          </w:tcPr>
          <w:p w14:paraId="1861B9D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p w14:paraId="2ADDF0E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李达成</w:t>
            </w:r>
          </w:p>
        </w:tc>
        <w:tc>
          <w:tcPr>
            <w:tcW w:w="3119" w:type="dxa"/>
            <w:vAlign w:val="center"/>
          </w:tcPr>
          <w:p w14:paraId="0A5DD9D4">
            <w:pPr>
              <w:spacing w:line="300" w:lineRule="exact"/>
              <w:jc w:val="center"/>
              <w:rPr>
                <w:rFonts w:ascii="仿宋_GB2312" w:hAnsi="宋体" w:eastAsia="仿宋_GB2312"/>
                <w:sz w:val="24"/>
                <w:szCs w:val="24"/>
              </w:rPr>
            </w:pPr>
            <w:r>
              <w:rPr>
                <w:rFonts w:hint="eastAsia" w:ascii="仿宋_GB2312" w:hAnsi="宋体" w:eastAsia="仿宋_GB2312"/>
                <w:sz w:val="24"/>
                <w:szCs w:val="24"/>
              </w:rPr>
              <w:t>区扶贫办</w:t>
            </w:r>
          </w:p>
          <w:p w14:paraId="2B29E509">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w:t>
            </w:r>
          </w:p>
          <w:p w14:paraId="50A8B3BA">
            <w:pPr>
              <w:spacing w:line="300" w:lineRule="exact"/>
              <w:jc w:val="center"/>
              <w:rPr>
                <w:rFonts w:ascii="仿宋_GB2312" w:hAnsi="宋体" w:eastAsia="仿宋_GB2312"/>
                <w:sz w:val="24"/>
                <w:szCs w:val="24"/>
              </w:rPr>
            </w:pPr>
            <w:r>
              <w:rPr>
                <w:rFonts w:hint="eastAsia" w:ascii="仿宋_GB2312" w:hAnsi="宋体" w:eastAsia="仿宋_GB2312"/>
                <w:sz w:val="24"/>
                <w:szCs w:val="24"/>
              </w:rPr>
              <w:t>棠下镇</w:t>
            </w:r>
          </w:p>
          <w:p w14:paraId="7F5FF10C">
            <w:pPr>
              <w:spacing w:line="300" w:lineRule="exact"/>
              <w:jc w:val="center"/>
              <w:rPr>
                <w:rFonts w:ascii="仿宋_GB2312" w:hAnsi="宋体" w:eastAsia="仿宋_GB2312"/>
                <w:sz w:val="24"/>
                <w:szCs w:val="24"/>
              </w:rPr>
            </w:pPr>
            <w:r>
              <w:rPr>
                <w:rFonts w:hint="eastAsia" w:ascii="仿宋_GB2312" w:hAnsi="宋体" w:eastAsia="仿宋_GB2312"/>
                <w:sz w:val="24"/>
                <w:szCs w:val="24"/>
              </w:rPr>
              <w:t>杜阮镇</w:t>
            </w:r>
          </w:p>
        </w:tc>
        <w:tc>
          <w:tcPr>
            <w:tcW w:w="7187" w:type="dxa"/>
            <w:vAlign w:val="center"/>
          </w:tcPr>
          <w:p w14:paraId="0151F332">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21795B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1.蓬江区驻天等工作组已与天等县扶贫办协商，共同制订2019年帮扶项目；已落实蓬江区驻天等工作组工作经费50万元，确保蓬江区驻天等工作组顺利开展工作。</w:t>
            </w:r>
          </w:p>
          <w:p w14:paraId="2D859EF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2.区人社局、区扶贫办已于1月28-30日到天等县商天等人社局、天等扶贫办共同研究开展“粤菜师傅”培训工作计划，初步达成培训合作意见。</w:t>
            </w:r>
          </w:p>
          <w:p w14:paraId="37FCE66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3.已于3月30-31联合天等县在五邑华侨广场会展中心举办天等县名优特农产品展销既旅游推介会。</w:t>
            </w:r>
          </w:p>
        </w:tc>
      </w:tr>
      <w:tr w14:paraId="4BA2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543" w:type="dxa"/>
            <w:vAlign w:val="center"/>
          </w:tcPr>
          <w:p w14:paraId="52DD4E83">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63465B0">
            <w:pPr>
              <w:spacing w:line="300" w:lineRule="exact"/>
              <w:rPr>
                <w:rFonts w:ascii="仿宋_GB2312" w:hAnsi="宋体" w:eastAsia="仿宋_GB2312"/>
                <w:sz w:val="24"/>
                <w:szCs w:val="24"/>
              </w:rPr>
            </w:pPr>
            <w:r>
              <w:rPr>
                <w:rFonts w:hint="eastAsia" w:ascii="仿宋_GB2312" w:hAnsi="宋体" w:eastAsia="仿宋_GB2312"/>
                <w:sz w:val="24"/>
                <w:szCs w:val="24"/>
              </w:rPr>
              <w:t>促进就业和再就业工作，城镇登记失业率控制在3.2%以内。</w:t>
            </w:r>
            <w:r>
              <w:rPr>
                <w:rFonts w:hint="eastAsia" w:ascii="仿宋_GB2312" w:hAnsi="宋体" w:eastAsia="仿宋_GB2312"/>
                <w:b/>
                <w:sz w:val="24"/>
                <w:szCs w:val="24"/>
              </w:rPr>
              <w:t>（牵头单位：区人力资源社会保障局）</w:t>
            </w:r>
          </w:p>
        </w:tc>
        <w:tc>
          <w:tcPr>
            <w:tcW w:w="1134" w:type="dxa"/>
            <w:vAlign w:val="center"/>
          </w:tcPr>
          <w:p w14:paraId="62F6987D">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21B22B15">
            <w:pPr>
              <w:spacing w:line="300" w:lineRule="exact"/>
              <w:jc w:val="center"/>
              <w:rPr>
                <w:rFonts w:ascii="仿宋_GB2312" w:hAnsi="宋体" w:eastAsia="仿宋_GB2312"/>
                <w:sz w:val="24"/>
                <w:szCs w:val="24"/>
              </w:rPr>
            </w:pPr>
            <w:r>
              <w:rPr>
                <w:rFonts w:hint="eastAsia" w:ascii="仿宋_GB2312" w:hAnsi="宋体" w:eastAsia="仿宋_GB2312"/>
                <w:sz w:val="24"/>
                <w:szCs w:val="24"/>
              </w:rPr>
              <w:t>区人力资源社会保障局</w:t>
            </w:r>
          </w:p>
          <w:p w14:paraId="6E4BDE9E">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0AC6DF9E">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717B46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结合“省促进就业九条”和“市促进就业九条”新政，推进城乡公共就业创业服务均等化。截至3月底，区城镇新增就业2214人，失业人员实现再就业1215人，就业困难人员实现就业91人，实现创业267人，分别完成目标任务的25.16%、24.3%、21.67%、25.19%，城镇登记失业率为2.38%。</w:t>
            </w:r>
          </w:p>
        </w:tc>
      </w:tr>
      <w:tr w14:paraId="1BE7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543" w:type="dxa"/>
            <w:vAlign w:val="center"/>
          </w:tcPr>
          <w:p w14:paraId="081AF2A3">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6692130F">
            <w:pPr>
              <w:spacing w:line="300" w:lineRule="exact"/>
              <w:rPr>
                <w:rFonts w:ascii="仿宋_GB2312" w:hAnsi="宋体" w:eastAsia="仿宋_GB2312"/>
                <w:sz w:val="24"/>
                <w:szCs w:val="24"/>
              </w:rPr>
            </w:pPr>
            <w:r>
              <w:rPr>
                <w:rFonts w:hint="eastAsia" w:ascii="仿宋_GB2312" w:hAnsi="宋体" w:eastAsia="仿宋_GB2312"/>
                <w:sz w:val="24"/>
                <w:szCs w:val="24"/>
              </w:rPr>
              <w:t>力促杜阮镇卫生院新门诊楼投入使用。</w:t>
            </w:r>
            <w:r>
              <w:rPr>
                <w:rFonts w:hint="eastAsia" w:ascii="仿宋_GB2312" w:hAnsi="宋体" w:eastAsia="仿宋_GB2312"/>
                <w:b/>
                <w:sz w:val="24"/>
                <w:szCs w:val="24"/>
              </w:rPr>
              <w:t>（牵头单位：杜阮镇）</w:t>
            </w:r>
          </w:p>
        </w:tc>
        <w:tc>
          <w:tcPr>
            <w:tcW w:w="1134" w:type="dxa"/>
            <w:vAlign w:val="center"/>
          </w:tcPr>
          <w:p w14:paraId="06892BB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王建新</w:t>
            </w:r>
          </w:p>
        </w:tc>
        <w:tc>
          <w:tcPr>
            <w:tcW w:w="3119" w:type="dxa"/>
            <w:vAlign w:val="center"/>
          </w:tcPr>
          <w:p w14:paraId="139AC1E3">
            <w:pPr>
              <w:spacing w:line="300" w:lineRule="exact"/>
              <w:jc w:val="center"/>
              <w:rPr>
                <w:rFonts w:ascii="仿宋_GB2312" w:hAnsi="宋体" w:eastAsia="仿宋_GB2312"/>
                <w:sz w:val="24"/>
                <w:szCs w:val="24"/>
              </w:rPr>
            </w:pPr>
            <w:r>
              <w:rPr>
                <w:rFonts w:hint="eastAsia" w:ascii="仿宋_GB2312" w:hAnsi="宋体" w:eastAsia="仿宋_GB2312"/>
                <w:sz w:val="24"/>
                <w:szCs w:val="24"/>
              </w:rPr>
              <w:t>杜阮镇</w:t>
            </w:r>
          </w:p>
        </w:tc>
        <w:tc>
          <w:tcPr>
            <w:tcW w:w="7187" w:type="dxa"/>
            <w:vAlign w:val="center"/>
          </w:tcPr>
          <w:p w14:paraId="6FF0DE40">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7A0CEB3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杜阮镇卫生院门诊楼工程占地750平方米,建设楼高共4层，建筑面积2031平方米，停车场2068平方米，项目总投资约815万元。其中，门诊楼建筑工程造价为633万元，已基本完成门诊楼各项工程建设，已支付工程款412万元，已完成绿化、氧气管道工程。预计5月底可完成消防验收和规划验收，6月底前可完成设备安装调试、信息中心升级改造和综合验收，并正式投入使用。</w:t>
            </w:r>
          </w:p>
        </w:tc>
      </w:tr>
      <w:tr w14:paraId="5173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543" w:type="dxa"/>
            <w:vAlign w:val="center"/>
          </w:tcPr>
          <w:p w14:paraId="3845BC3C">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B7AD5F3">
            <w:pPr>
              <w:spacing w:line="300" w:lineRule="exact"/>
              <w:rPr>
                <w:rFonts w:ascii="仿宋_GB2312" w:hAnsi="宋体" w:eastAsia="仿宋_GB2312"/>
                <w:sz w:val="24"/>
                <w:szCs w:val="24"/>
              </w:rPr>
            </w:pPr>
            <w:r>
              <w:rPr>
                <w:rFonts w:hint="eastAsia" w:ascii="仿宋_GB2312" w:hAnsi="宋体" w:eastAsia="仿宋_GB2312"/>
                <w:sz w:val="24"/>
                <w:szCs w:val="24"/>
              </w:rPr>
              <w:t>加快棠下镇卫生院新住院大楼主体工程建设。</w:t>
            </w:r>
            <w:r>
              <w:rPr>
                <w:rFonts w:hint="eastAsia" w:ascii="仿宋_GB2312" w:hAnsi="宋体" w:eastAsia="仿宋_GB2312"/>
                <w:b/>
                <w:sz w:val="24"/>
                <w:szCs w:val="24"/>
              </w:rPr>
              <w:t>（牵头单位：棠下镇）</w:t>
            </w:r>
          </w:p>
        </w:tc>
        <w:tc>
          <w:tcPr>
            <w:tcW w:w="1134" w:type="dxa"/>
            <w:vAlign w:val="center"/>
          </w:tcPr>
          <w:p w14:paraId="220BD370">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王建新</w:t>
            </w:r>
          </w:p>
        </w:tc>
        <w:tc>
          <w:tcPr>
            <w:tcW w:w="3119" w:type="dxa"/>
            <w:vAlign w:val="center"/>
          </w:tcPr>
          <w:p w14:paraId="2442E4C1">
            <w:pPr>
              <w:spacing w:line="300" w:lineRule="exact"/>
              <w:jc w:val="center"/>
              <w:rPr>
                <w:rFonts w:ascii="仿宋_GB2312" w:hAnsi="宋体" w:eastAsia="仿宋_GB2312"/>
                <w:sz w:val="24"/>
                <w:szCs w:val="24"/>
              </w:rPr>
            </w:pPr>
            <w:r>
              <w:rPr>
                <w:rFonts w:hint="eastAsia" w:ascii="仿宋_GB2312" w:hAnsi="宋体" w:eastAsia="仿宋_GB2312"/>
                <w:sz w:val="24"/>
                <w:szCs w:val="24"/>
              </w:rPr>
              <w:t>棠下镇</w:t>
            </w:r>
          </w:p>
        </w:tc>
        <w:tc>
          <w:tcPr>
            <w:tcW w:w="7187" w:type="dxa"/>
            <w:vAlign w:val="center"/>
          </w:tcPr>
          <w:p w14:paraId="78E43224">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7F7DFE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已完成框架二层楼面结构施工。</w:t>
            </w:r>
          </w:p>
        </w:tc>
      </w:tr>
      <w:tr w14:paraId="70F1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543" w:type="dxa"/>
            <w:vAlign w:val="center"/>
          </w:tcPr>
          <w:p w14:paraId="501AF8AF">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9562117">
            <w:pPr>
              <w:spacing w:line="300" w:lineRule="exact"/>
              <w:rPr>
                <w:rFonts w:ascii="仿宋_GB2312" w:hAnsi="宋体" w:eastAsia="仿宋_GB2312"/>
                <w:sz w:val="24"/>
                <w:szCs w:val="24"/>
              </w:rPr>
            </w:pPr>
            <w:r>
              <w:rPr>
                <w:rFonts w:hint="eastAsia" w:ascii="仿宋_GB2312" w:hAnsi="宋体" w:eastAsia="仿宋_GB2312"/>
                <w:sz w:val="24"/>
                <w:szCs w:val="24"/>
              </w:rPr>
              <w:t>加快“益食堂”设点工作，做到助餐服务镇街层面100%覆盖。</w:t>
            </w:r>
            <w:r>
              <w:rPr>
                <w:rFonts w:hint="eastAsia" w:ascii="仿宋_GB2312" w:hAnsi="宋体" w:eastAsia="仿宋_GB2312"/>
                <w:b/>
                <w:sz w:val="24"/>
                <w:szCs w:val="24"/>
              </w:rPr>
              <w:t>（牵头单位：区民政局）</w:t>
            </w:r>
          </w:p>
        </w:tc>
        <w:tc>
          <w:tcPr>
            <w:tcW w:w="1134" w:type="dxa"/>
            <w:vAlign w:val="center"/>
          </w:tcPr>
          <w:p w14:paraId="0CDF3F36">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黄文坚</w:t>
            </w:r>
          </w:p>
        </w:tc>
        <w:tc>
          <w:tcPr>
            <w:tcW w:w="3119" w:type="dxa"/>
            <w:vAlign w:val="center"/>
          </w:tcPr>
          <w:p w14:paraId="6B986D7D">
            <w:pPr>
              <w:spacing w:line="300" w:lineRule="exact"/>
              <w:jc w:val="center"/>
              <w:rPr>
                <w:rFonts w:ascii="仿宋_GB2312" w:hAnsi="宋体" w:eastAsia="仿宋_GB2312"/>
                <w:sz w:val="24"/>
                <w:szCs w:val="24"/>
              </w:rPr>
            </w:pPr>
            <w:r>
              <w:rPr>
                <w:rFonts w:hint="eastAsia" w:ascii="仿宋_GB2312" w:hAnsi="宋体" w:eastAsia="仿宋_GB2312"/>
                <w:sz w:val="24"/>
                <w:szCs w:val="24"/>
              </w:rPr>
              <w:t>区民政局</w:t>
            </w:r>
          </w:p>
          <w:p w14:paraId="655CFDC1">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63475EA0">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01DFB3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蓬江区长者饭堂“益食堂”项目计划方案已通过文件方式征询镇街的意见，现正呈区府办并按照《转发&lt;关于印发江门市2018年政府集中采购目录及限额标准的通知&gt;》（蓬江财监〔2018〕19号）有关规定和程序，委托具有相应资质的社会招标代理机构进行代理采购。已于3月28日召开机构动员会议，项目标书正在草拟中，招标工作已启动。</w:t>
            </w:r>
          </w:p>
        </w:tc>
      </w:tr>
      <w:tr w14:paraId="1CE1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6" w:hRule="atLeast"/>
          <w:jc w:val="center"/>
        </w:trPr>
        <w:tc>
          <w:tcPr>
            <w:tcW w:w="543" w:type="dxa"/>
            <w:vAlign w:val="center"/>
          </w:tcPr>
          <w:p w14:paraId="1D44F7CE">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EEF860C">
            <w:pPr>
              <w:spacing w:line="300" w:lineRule="exact"/>
              <w:rPr>
                <w:rFonts w:ascii="仿宋_GB2312" w:hAnsi="宋体" w:eastAsia="仿宋_GB2312"/>
                <w:sz w:val="24"/>
                <w:szCs w:val="24"/>
              </w:rPr>
            </w:pPr>
            <w:r>
              <w:rPr>
                <w:rFonts w:hint="eastAsia" w:ascii="仿宋_GB2312" w:hAnsi="宋体" w:eastAsia="仿宋_GB2312"/>
                <w:sz w:val="24"/>
                <w:szCs w:val="24"/>
              </w:rPr>
              <w:t>配合市创建省食品安全示范城市，加大非洲猪瘟防控力度，确保区内800人以上集体食堂100%实现“明厨亮灶”。</w:t>
            </w:r>
            <w:r>
              <w:rPr>
                <w:rFonts w:hint="eastAsia" w:ascii="仿宋_GB2312" w:hAnsi="宋体" w:eastAsia="仿宋_GB2312"/>
                <w:b/>
                <w:sz w:val="24"/>
                <w:szCs w:val="24"/>
              </w:rPr>
              <w:t>（牵头单位：区市场监管局）</w:t>
            </w:r>
          </w:p>
        </w:tc>
        <w:tc>
          <w:tcPr>
            <w:tcW w:w="1134" w:type="dxa"/>
            <w:vAlign w:val="center"/>
          </w:tcPr>
          <w:p w14:paraId="59734E55">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5F38ADAC">
            <w:pPr>
              <w:spacing w:line="300" w:lineRule="exact"/>
              <w:jc w:val="center"/>
              <w:rPr>
                <w:rFonts w:ascii="仿宋_GB2312" w:hAnsi="宋体" w:eastAsia="仿宋_GB2312"/>
                <w:sz w:val="24"/>
                <w:szCs w:val="24"/>
              </w:rPr>
            </w:pPr>
            <w:r>
              <w:rPr>
                <w:rFonts w:hint="eastAsia" w:ascii="仿宋_GB2312" w:hAnsi="宋体" w:eastAsia="仿宋_GB2312"/>
                <w:sz w:val="24"/>
                <w:szCs w:val="24"/>
              </w:rPr>
              <w:t>区食安办</w:t>
            </w:r>
          </w:p>
          <w:p w14:paraId="3806CA7E">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tc>
        <w:tc>
          <w:tcPr>
            <w:tcW w:w="7187" w:type="dxa"/>
            <w:vAlign w:val="center"/>
          </w:tcPr>
          <w:p w14:paraId="59611459">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0E01369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1.现正配合市直部门开展群众满意度调查；大力开展创城宣传，提高群众的知晓率和支持率；根据区创城倒逼工作方案，对十大工程牵头单位开展督查检查。</w:t>
            </w:r>
          </w:p>
          <w:p w14:paraId="64FE002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根据江门市蓬江区防制重大动物疫病指挥部工作安排，开展非洲猪瘟防控动态工作，共检查农贸市场113家次，食用农产品销售经营者405家次，餐饮服务经营者535家次，食品销售经营者358家次，其中经营性冻库14家次。</w:t>
            </w:r>
          </w:p>
          <w:p w14:paraId="1497910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3.目前，辖区800人以上集体食堂共有71家（包括学校食堂62家、企业食堂9家），均已实现明厨亮灶。</w:t>
            </w:r>
          </w:p>
        </w:tc>
      </w:tr>
      <w:tr w14:paraId="6D1C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jc w:val="center"/>
        </w:trPr>
        <w:tc>
          <w:tcPr>
            <w:tcW w:w="543" w:type="dxa"/>
            <w:vAlign w:val="center"/>
          </w:tcPr>
          <w:p w14:paraId="682D0A7B">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4787C96">
            <w:pPr>
              <w:spacing w:line="300" w:lineRule="exact"/>
              <w:rPr>
                <w:rFonts w:ascii="仿宋_GB2312" w:hAnsi="宋体" w:eastAsia="仿宋_GB2312"/>
                <w:sz w:val="24"/>
                <w:szCs w:val="24"/>
              </w:rPr>
            </w:pPr>
            <w:r>
              <w:rPr>
                <w:rFonts w:hint="eastAsia" w:ascii="仿宋_GB2312" w:hAnsi="宋体" w:eastAsia="仿宋_GB2312"/>
                <w:sz w:val="24"/>
                <w:szCs w:val="24"/>
              </w:rPr>
              <w:t>加强社会治理制度建设，加大资源和数据整合力度，推进“全科网格化”和“综合指挥平台”建设，提高社会治理社会化、法治化、智能化、专业化水平。</w:t>
            </w:r>
            <w:r>
              <w:rPr>
                <w:rFonts w:hint="eastAsia" w:ascii="仿宋_GB2312" w:hAnsi="宋体" w:eastAsia="仿宋_GB2312"/>
                <w:b/>
                <w:sz w:val="24"/>
                <w:szCs w:val="24"/>
              </w:rPr>
              <w:t>（牵头单位：区委政法委）</w:t>
            </w:r>
          </w:p>
        </w:tc>
        <w:tc>
          <w:tcPr>
            <w:tcW w:w="1134" w:type="dxa"/>
            <w:vAlign w:val="center"/>
          </w:tcPr>
          <w:p w14:paraId="2B9A6E7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林伟勤</w:t>
            </w:r>
          </w:p>
        </w:tc>
        <w:tc>
          <w:tcPr>
            <w:tcW w:w="3119" w:type="dxa"/>
            <w:vAlign w:val="center"/>
          </w:tcPr>
          <w:p w14:paraId="4F4E0C13">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区委政法委</w:t>
            </w:r>
          </w:p>
          <w:p w14:paraId="4D1595E0">
            <w:pPr>
              <w:spacing w:line="300" w:lineRule="exact"/>
              <w:jc w:val="center"/>
              <w:rPr>
                <w:rFonts w:ascii="仿宋_GB2312" w:hAnsi="宋体" w:eastAsia="仿宋_GB2312"/>
                <w:sz w:val="24"/>
                <w:szCs w:val="24"/>
              </w:rPr>
            </w:pPr>
            <w:r>
              <w:rPr>
                <w:rFonts w:hint="eastAsia" w:ascii="仿宋_GB2312" w:hAnsi="宋体" w:eastAsia="仿宋_GB2312"/>
                <w:sz w:val="24"/>
                <w:szCs w:val="24"/>
              </w:rPr>
              <w:t>区公安分局</w:t>
            </w:r>
          </w:p>
          <w:p w14:paraId="538EE0F2">
            <w:pPr>
              <w:spacing w:line="300" w:lineRule="exact"/>
              <w:jc w:val="center"/>
              <w:rPr>
                <w:rFonts w:ascii="仿宋_GB2312" w:hAnsi="宋体" w:eastAsia="仿宋_GB2312"/>
                <w:sz w:val="24"/>
                <w:szCs w:val="24"/>
              </w:rPr>
            </w:pPr>
            <w:r>
              <w:rPr>
                <w:rFonts w:hint="eastAsia" w:ascii="仿宋_GB2312" w:hAnsi="宋体" w:eastAsia="仿宋_GB2312"/>
                <w:sz w:val="24"/>
                <w:szCs w:val="24"/>
              </w:rPr>
              <w:t>区政务服务数据管理局</w:t>
            </w:r>
          </w:p>
          <w:p w14:paraId="3D7DE5EC">
            <w:pPr>
              <w:spacing w:line="300" w:lineRule="exact"/>
              <w:jc w:val="center"/>
              <w:rPr>
                <w:rFonts w:ascii="仿宋_GB2312" w:hAnsi="宋体" w:eastAsia="仿宋_GB2312"/>
                <w:sz w:val="24"/>
                <w:szCs w:val="24"/>
              </w:rPr>
            </w:pPr>
            <w:r>
              <w:rPr>
                <w:rFonts w:hint="eastAsia" w:ascii="仿宋_GB2312" w:hAnsi="宋体" w:eastAsia="仿宋_GB2312"/>
                <w:sz w:val="24"/>
                <w:szCs w:val="24"/>
              </w:rPr>
              <w:t>区财政局</w:t>
            </w:r>
          </w:p>
          <w:p w14:paraId="6A63ADDC">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区直有关单位</w:t>
            </w:r>
          </w:p>
          <w:p w14:paraId="61A2DEFE">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58B1E55B">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75D378B">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先后到浙江湖州、枫桥、杭州和深圳等地学习、了解和借鉴全科网格化和综合指挥平台的建设经验及工作机制，并到市政务服务数据管理局、区城市管理和综合执法局、棠下镇、白沙街开展综合指挥平台建设专题调研。</w:t>
            </w:r>
          </w:p>
          <w:p w14:paraId="3B9DC694">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2.现正结合区的实际，借鉴外地先进建设经验，制定入格事项详细清单以及工作流程图。</w:t>
            </w:r>
          </w:p>
          <w:p w14:paraId="3A0208F9">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根据市关于按照“一张网、五统一”（网格统一规划、资源统一整合、人员统一配备、信息统一采集、服务统一标准）的要求，综合社会治理综合指挥平台的项目，继续完善网格化的相关机制，为下一步制定指导意见打下基础。</w:t>
            </w:r>
          </w:p>
          <w:p w14:paraId="0164A81C">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4.正在综合省信息系统资源，拟定各单位的信息系统、地图和视频数据对接方案。</w:t>
            </w:r>
          </w:p>
        </w:tc>
      </w:tr>
      <w:tr w14:paraId="23A1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4" w:hRule="atLeast"/>
          <w:jc w:val="center"/>
        </w:trPr>
        <w:tc>
          <w:tcPr>
            <w:tcW w:w="543" w:type="dxa"/>
            <w:vAlign w:val="center"/>
          </w:tcPr>
          <w:p w14:paraId="5CE50AC5">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BA8B4B5">
            <w:pPr>
              <w:spacing w:line="300" w:lineRule="exact"/>
              <w:rPr>
                <w:rFonts w:ascii="仿宋_GB2312" w:hAnsi="宋体" w:eastAsia="仿宋_GB2312"/>
                <w:sz w:val="24"/>
                <w:szCs w:val="24"/>
              </w:rPr>
            </w:pPr>
            <w:r>
              <w:rPr>
                <w:rFonts w:hint="eastAsia" w:ascii="仿宋_GB2312" w:hAnsi="宋体" w:eastAsia="仿宋_GB2312"/>
                <w:sz w:val="24"/>
                <w:szCs w:val="24"/>
              </w:rPr>
              <w:t>深入推进扫黑除恶专项斗争，加大对新兴领域和农村地区涉黑涉恶违法犯罪打击力度。</w:t>
            </w:r>
            <w:r>
              <w:rPr>
                <w:rFonts w:hint="eastAsia" w:ascii="仿宋_GB2312" w:hAnsi="宋体" w:eastAsia="仿宋_GB2312"/>
                <w:b/>
                <w:sz w:val="24"/>
                <w:szCs w:val="24"/>
              </w:rPr>
              <w:t>（牵头单位：区扫黑除恶办）</w:t>
            </w:r>
          </w:p>
        </w:tc>
        <w:tc>
          <w:tcPr>
            <w:tcW w:w="1134" w:type="dxa"/>
            <w:vAlign w:val="center"/>
          </w:tcPr>
          <w:p w14:paraId="69619CE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林伟勤</w:t>
            </w:r>
          </w:p>
        </w:tc>
        <w:tc>
          <w:tcPr>
            <w:tcW w:w="3119" w:type="dxa"/>
            <w:vAlign w:val="center"/>
          </w:tcPr>
          <w:p w14:paraId="6F2D6417">
            <w:pPr>
              <w:spacing w:line="300" w:lineRule="exact"/>
              <w:jc w:val="center"/>
              <w:rPr>
                <w:rFonts w:ascii="仿宋_GB2312" w:hAnsi="宋体" w:eastAsia="仿宋_GB2312"/>
                <w:sz w:val="24"/>
                <w:szCs w:val="24"/>
              </w:rPr>
            </w:pPr>
            <w:r>
              <w:rPr>
                <w:rFonts w:hint="eastAsia" w:ascii="仿宋_GB2312" w:hAnsi="宋体" w:eastAsia="仿宋_GB2312"/>
                <w:sz w:val="24"/>
                <w:szCs w:val="24"/>
              </w:rPr>
              <w:t>区扫黑除恶办</w:t>
            </w:r>
          </w:p>
          <w:p w14:paraId="127C3771">
            <w:pPr>
              <w:spacing w:line="300" w:lineRule="exact"/>
              <w:jc w:val="center"/>
              <w:rPr>
                <w:rFonts w:ascii="仿宋_GB2312" w:hAnsi="宋体" w:eastAsia="仿宋_GB2312"/>
                <w:sz w:val="24"/>
                <w:szCs w:val="24"/>
              </w:rPr>
            </w:pPr>
            <w:r>
              <w:rPr>
                <w:rFonts w:hint="eastAsia" w:ascii="仿宋_GB2312" w:hAnsi="宋体" w:eastAsia="仿宋_GB2312"/>
                <w:sz w:val="24"/>
                <w:szCs w:val="24"/>
              </w:rPr>
              <w:t>区纪委监委</w:t>
            </w:r>
          </w:p>
          <w:p w14:paraId="5058AB81">
            <w:pPr>
              <w:spacing w:line="300" w:lineRule="exact"/>
              <w:jc w:val="center"/>
              <w:rPr>
                <w:rFonts w:ascii="仿宋_GB2312" w:hAnsi="宋体" w:eastAsia="仿宋_GB2312"/>
                <w:sz w:val="24"/>
                <w:szCs w:val="24"/>
              </w:rPr>
            </w:pPr>
            <w:r>
              <w:rPr>
                <w:rFonts w:hint="eastAsia" w:ascii="仿宋_GB2312" w:hAnsi="宋体" w:eastAsia="仿宋_GB2312"/>
                <w:sz w:val="24"/>
                <w:szCs w:val="24"/>
              </w:rPr>
              <w:t>区公安分局</w:t>
            </w:r>
          </w:p>
          <w:p w14:paraId="2904BC81">
            <w:pPr>
              <w:spacing w:line="300" w:lineRule="exact"/>
              <w:jc w:val="center"/>
              <w:rPr>
                <w:rFonts w:ascii="仿宋_GB2312" w:hAnsi="宋体" w:eastAsia="仿宋_GB2312"/>
                <w:sz w:val="24"/>
                <w:szCs w:val="24"/>
              </w:rPr>
            </w:pPr>
            <w:r>
              <w:rPr>
                <w:rFonts w:hint="eastAsia" w:ascii="仿宋_GB2312" w:hAnsi="宋体" w:eastAsia="仿宋_GB2312"/>
                <w:sz w:val="24"/>
                <w:szCs w:val="24"/>
              </w:rPr>
              <w:t>区司法局</w:t>
            </w:r>
          </w:p>
          <w:p w14:paraId="4F7EFEE9">
            <w:pPr>
              <w:spacing w:line="300" w:lineRule="exact"/>
              <w:jc w:val="center"/>
              <w:rPr>
                <w:rFonts w:ascii="仿宋_GB2312" w:hAnsi="宋体" w:eastAsia="仿宋_GB2312"/>
                <w:sz w:val="24"/>
                <w:szCs w:val="24"/>
              </w:rPr>
            </w:pPr>
            <w:r>
              <w:rPr>
                <w:rFonts w:hint="eastAsia" w:ascii="仿宋_GB2312" w:hAnsi="宋体" w:eastAsia="仿宋_GB2312"/>
                <w:sz w:val="24"/>
                <w:szCs w:val="24"/>
              </w:rPr>
              <w:t>区法院</w:t>
            </w:r>
          </w:p>
          <w:p w14:paraId="7A0A07D7">
            <w:pPr>
              <w:spacing w:line="300" w:lineRule="exact"/>
              <w:jc w:val="center"/>
              <w:rPr>
                <w:rFonts w:ascii="仿宋_GB2312" w:hAnsi="宋体" w:eastAsia="仿宋_GB2312"/>
                <w:sz w:val="24"/>
                <w:szCs w:val="24"/>
              </w:rPr>
            </w:pPr>
            <w:r>
              <w:rPr>
                <w:rFonts w:hint="eastAsia" w:ascii="仿宋_GB2312" w:hAnsi="宋体" w:eastAsia="仿宋_GB2312"/>
                <w:sz w:val="24"/>
                <w:szCs w:val="24"/>
              </w:rPr>
              <w:t>区检察院</w:t>
            </w:r>
          </w:p>
          <w:p w14:paraId="6603AAEE">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3595CBFB">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32EE0699">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截至3月底，共摸排线索216条，成案135条，成案率63%。其中,涉重点领域、重点行业30条；区纪委监委组织骨干精英，挖出一批幕后“保护伞”，新增涉黑涉恶腐败和“保护伞”问题线索4条（其中,公职人员充当涉恶“保护伞”3条），立案4宗4人(其中农村基层干部涉黑恶案件1宗1人)，办结3宗3人（含去年立案1宗1人）；区纪委监委在建筑工程、环保整治领域，惩治为涉恶人员强揽工程充当“保护伞”、串投围标环保整治工程的公职人员3人；区公安分局查封、冻结、扣押涉案资产达1072.9万元，较2018年全年增长160.1；区纪委监委共打掉涉“保护伞”非法利益人民币440多万元、外币折合人民币约10多万元，占2018年全年“打财”总数的40%；已拆除环保领域、三清三拆三整治、黑丑黑臭水体治理等整改事件3起，相关单位移交公安立案9起、行政处罚3起、消除环境影响3起，荷塘镇处理5起，环市街处理3起，杜阮、潮连、白沙各处理1起。</w:t>
            </w:r>
          </w:p>
        </w:tc>
      </w:tr>
      <w:tr w14:paraId="1D2A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atLeast"/>
          <w:jc w:val="center"/>
        </w:trPr>
        <w:tc>
          <w:tcPr>
            <w:tcW w:w="543" w:type="dxa"/>
            <w:vAlign w:val="center"/>
          </w:tcPr>
          <w:p w14:paraId="0EE3758D">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34A8A990">
            <w:pPr>
              <w:spacing w:line="300" w:lineRule="exact"/>
              <w:rPr>
                <w:rFonts w:ascii="仿宋_GB2312" w:hAnsi="宋体" w:eastAsia="仿宋_GB2312"/>
                <w:sz w:val="24"/>
                <w:szCs w:val="24"/>
                <w:highlight w:val="yellow"/>
              </w:rPr>
            </w:pPr>
            <w:r>
              <w:rPr>
                <w:rFonts w:hint="eastAsia" w:ascii="仿宋_GB2312" w:hAnsi="宋体" w:eastAsia="仿宋_GB2312"/>
                <w:sz w:val="24"/>
                <w:szCs w:val="24"/>
              </w:rPr>
              <w:t>深化平安蓬江建设，推进“智慧新警务”和“雪亮工程”，稳步铺开“党建+自治+德治+法治”基层社区治理，强化社会矛盾预防和化解，打造蓬江版“枫桥经验”样本。</w:t>
            </w:r>
            <w:r>
              <w:rPr>
                <w:rFonts w:hint="eastAsia" w:ascii="仿宋_GB2312" w:hAnsi="宋体" w:eastAsia="仿宋_GB2312"/>
                <w:b/>
                <w:sz w:val="24"/>
                <w:szCs w:val="24"/>
              </w:rPr>
              <w:t>（牵头单位：区委政法委）</w:t>
            </w:r>
          </w:p>
        </w:tc>
        <w:tc>
          <w:tcPr>
            <w:tcW w:w="1134" w:type="dxa"/>
            <w:vAlign w:val="center"/>
          </w:tcPr>
          <w:p w14:paraId="5B63C35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林伟勤</w:t>
            </w:r>
          </w:p>
        </w:tc>
        <w:tc>
          <w:tcPr>
            <w:tcW w:w="3119" w:type="dxa"/>
            <w:vAlign w:val="center"/>
          </w:tcPr>
          <w:p w14:paraId="1697476C">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区委政法委</w:t>
            </w:r>
          </w:p>
          <w:p w14:paraId="732ED8F1">
            <w:pPr>
              <w:spacing w:line="300" w:lineRule="exact"/>
              <w:jc w:val="center"/>
              <w:rPr>
                <w:rFonts w:ascii="仿宋_GB2312" w:hAnsi="宋体" w:eastAsia="仿宋_GB2312"/>
                <w:sz w:val="24"/>
                <w:szCs w:val="24"/>
              </w:rPr>
            </w:pPr>
            <w:r>
              <w:rPr>
                <w:rFonts w:hint="eastAsia" w:ascii="仿宋_GB2312" w:hAnsi="宋体" w:eastAsia="仿宋_GB2312"/>
                <w:sz w:val="24"/>
                <w:szCs w:val="24"/>
              </w:rPr>
              <w:t>区公安分局</w:t>
            </w:r>
          </w:p>
          <w:p w14:paraId="17EB66D8">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区直有关单位</w:t>
            </w:r>
          </w:p>
          <w:p w14:paraId="66A90258">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459BF46E">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20C173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完成对2018年度重点治理（挂牌整治）村（居）现场考核验收工作，已启动2019年度重点治理和挂牌整治相关工作；已开展“党建+自治+德治+法治”基层社区治理工作调研，总结提炼天福社区“党建引领、三治融合”社区治理经验；蓬江区公共安全视频监控“十三五”规划建设项目36个治安卡口和360个一类点的现场复勘及校正工作已启动；已分解下达建立矛盾纠纷多元化解衔接机制工作任务，确定了重点推进方向；雪亮工程项目建设已通过会议讨论，建设专项资金已纳入年度财政预算。</w:t>
            </w:r>
          </w:p>
          <w:p w14:paraId="7565A19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全力打好防范化解重大风险攻坚战，在春节等防护期启动等级响应机制，共开展全区性社会矛盾排查125次，提前预警并有效预防了涉问题楼盘等风险落地，成功化解了荷塘镇某食品厂欠薪案等涉及人数较多的隐患事件；围绕新中国成立70周年落实各项社会矛盾的预防和化解措施，推动责任部门加强对工资及分账管理、农村“三资”管理等领域的系统治理工作；持续督办棠下镇周郡村农村问题、环市街嘉悦名都楼盘问题攻坚工作，确保化解、稳控工作落实到位。</w:t>
            </w:r>
          </w:p>
          <w:p w14:paraId="659CCBC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3.已制定《2018年度蓬江区镇（街）综治工作（平安建设）考评标准》，并于1月完成对各镇、街的考评。</w:t>
            </w:r>
          </w:p>
        </w:tc>
      </w:tr>
      <w:tr w14:paraId="6BE0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3" w:hRule="atLeast"/>
          <w:jc w:val="center"/>
        </w:trPr>
        <w:tc>
          <w:tcPr>
            <w:tcW w:w="543" w:type="dxa"/>
            <w:vAlign w:val="center"/>
          </w:tcPr>
          <w:p w14:paraId="654EA4D0">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087D401E">
            <w:pPr>
              <w:spacing w:line="260" w:lineRule="exact"/>
              <w:rPr>
                <w:rFonts w:ascii="仿宋_GB2312" w:hAnsi="宋体" w:eastAsia="仿宋_GB2312"/>
                <w:sz w:val="24"/>
                <w:szCs w:val="24"/>
              </w:rPr>
            </w:pPr>
            <w:r>
              <w:rPr>
                <w:rFonts w:hint="eastAsia" w:ascii="仿宋_GB2312" w:hAnsi="宋体" w:eastAsia="仿宋_GB2312"/>
                <w:sz w:val="24"/>
                <w:szCs w:val="24"/>
              </w:rPr>
              <w:t>组织开展好2019年江门市慈善公益主会场活动。</w:t>
            </w:r>
            <w:r>
              <w:rPr>
                <w:rFonts w:hint="eastAsia" w:ascii="仿宋_GB2312" w:hAnsi="宋体" w:eastAsia="仿宋_GB2312"/>
                <w:b/>
                <w:sz w:val="24"/>
                <w:szCs w:val="24"/>
              </w:rPr>
              <w:t>（牵头单位：区民政局）</w:t>
            </w:r>
          </w:p>
        </w:tc>
        <w:tc>
          <w:tcPr>
            <w:tcW w:w="1134" w:type="dxa"/>
            <w:vAlign w:val="center"/>
          </w:tcPr>
          <w:p w14:paraId="7064A068">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黄文坚</w:t>
            </w:r>
          </w:p>
        </w:tc>
        <w:tc>
          <w:tcPr>
            <w:tcW w:w="3119" w:type="dxa"/>
            <w:vAlign w:val="center"/>
          </w:tcPr>
          <w:p w14:paraId="0C5E28C3">
            <w:pPr>
              <w:spacing w:line="300" w:lineRule="exact"/>
              <w:jc w:val="center"/>
              <w:rPr>
                <w:rFonts w:ascii="仿宋_GB2312" w:hAnsi="宋体" w:eastAsia="仿宋_GB2312"/>
                <w:sz w:val="24"/>
                <w:szCs w:val="24"/>
              </w:rPr>
            </w:pPr>
            <w:r>
              <w:rPr>
                <w:rFonts w:hint="eastAsia" w:ascii="仿宋_GB2312" w:hAnsi="宋体" w:eastAsia="仿宋_GB2312"/>
                <w:sz w:val="24"/>
                <w:szCs w:val="24"/>
              </w:rPr>
              <w:t>区民政局</w:t>
            </w:r>
          </w:p>
          <w:p w14:paraId="1F051289">
            <w:pPr>
              <w:spacing w:line="300" w:lineRule="exact"/>
              <w:jc w:val="center"/>
              <w:rPr>
                <w:rFonts w:ascii="仿宋_GB2312" w:hAnsi="宋体" w:eastAsia="仿宋_GB2312"/>
                <w:sz w:val="24"/>
                <w:szCs w:val="24"/>
              </w:rPr>
            </w:pPr>
            <w:r>
              <w:rPr>
                <w:rFonts w:hint="eastAsia" w:ascii="仿宋_GB2312" w:hAnsi="宋体" w:eastAsia="仿宋_GB2312"/>
                <w:sz w:val="24"/>
                <w:szCs w:val="24"/>
              </w:rPr>
              <w:t>区扶贫办</w:t>
            </w:r>
          </w:p>
        </w:tc>
        <w:tc>
          <w:tcPr>
            <w:tcW w:w="7187" w:type="dxa"/>
            <w:vAlign w:val="center"/>
          </w:tcPr>
          <w:p w14:paraId="528C28D4">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504D00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于2018年9月草拟《蓬江区作为2019年江门市慈善公益活动主会场活动构思方案》并上报市民政局，待回复；区民政局已于2019年1月23日将《关于做好2019年江门市慈善公益活动主会场募捐工作的请示》（蓬江民字〔2019〕23号）呈区委、区政府，待回复。</w:t>
            </w:r>
          </w:p>
          <w:p w14:paraId="2A42F52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区民政局根据实际情况，主动与区扶贫办联系沟通有关工作，并于2019年3月下旬草拟《江门市蓬江区2019年扶贫济困慈善公益活动工作方案》《关于开展2018年度蓬江区慈善公益先进单位和个人推荐工作的通知》《关于收集蓬江区2019年扶贫济困慈善公益募捐推介项目和公益活动安排的通知》，现正开展前期筹备相关工作。</w:t>
            </w:r>
          </w:p>
        </w:tc>
      </w:tr>
      <w:tr w14:paraId="20F2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atLeast"/>
          <w:jc w:val="center"/>
        </w:trPr>
        <w:tc>
          <w:tcPr>
            <w:tcW w:w="543" w:type="dxa"/>
            <w:vAlign w:val="center"/>
          </w:tcPr>
          <w:p w14:paraId="2FB177CE">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6F236E8E">
            <w:pPr>
              <w:spacing w:line="260" w:lineRule="exact"/>
              <w:rPr>
                <w:rFonts w:ascii="仿宋_GB2312" w:hAnsi="宋体" w:eastAsia="仿宋_GB2312"/>
                <w:sz w:val="24"/>
                <w:szCs w:val="24"/>
              </w:rPr>
            </w:pPr>
            <w:r>
              <w:rPr>
                <w:rFonts w:hint="eastAsia" w:ascii="仿宋_GB2312" w:hAnsi="宋体" w:eastAsia="仿宋_GB2312"/>
                <w:sz w:val="24"/>
                <w:szCs w:val="24"/>
              </w:rPr>
              <w:t>加强、优化、统筹蓬江区应急能力建设，构建好统一领导、权责一致、权威高效的应急能力体系，大力抓好安全生产、消防管理、森林防火、水利三防、安全生产类和自然灾害类突发事件应急处置，加强三防系统标准化建设。组织协调灾害救助、防震减灾等工作。</w:t>
            </w:r>
            <w:r>
              <w:rPr>
                <w:rFonts w:hint="eastAsia" w:ascii="仿宋_GB2312" w:hAnsi="宋体" w:eastAsia="仿宋_GB2312"/>
                <w:b/>
                <w:sz w:val="24"/>
                <w:szCs w:val="24"/>
              </w:rPr>
              <w:t>（牵头单位：区应急管理局）</w:t>
            </w:r>
          </w:p>
        </w:tc>
        <w:tc>
          <w:tcPr>
            <w:tcW w:w="1134" w:type="dxa"/>
            <w:vAlign w:val="center"/>
          </w:tcPr>
          <w:p w14:paraId="6DC56FFC">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林伟勤</w:t>
            </w:r>
          </w:p>
        </w:tc>
        <w:tc>
          <w:tcPr>
            <w:tcW w:w="3119" w:type="dxa"/>
            <w:vAlign w:val="center"/>
          </w:tcPr>
          <w:p w14:paraId="7913D20A">
            <w:pPr>
              <w:spacing w:line="300" w:lineRule="exact"/>
              <w:jc w:val="center"/>
              <w:rPr>
                <w:rFonts w:ascii="仿宋_GB2312" w:hAnsi="宋体" w:eastAsia="仿宋_GB2312"/>
                <w:sz w:val="24"/>
                <w:szCs w:val="24"/>
              </w:rPr>
            </w:pPr>
            <w:r>
              <w:rPr>
                <w:rFonts w:hint="eastAsia" w:ascii="仿宋_GB2312" w:hAnsi="宋体" w:eastAsia="仿宋_GB2312"/>
                <w:sz w:val="24"/>
                <w:szCs w:val="24"/>
              </w:rPr>
              <w:t>区应急管理局</w:t>
            </w:r>
          </w:p>
          <w:p w14:paraId="5A1E98C4">
            <w:pPr>
              <w:spacing w:line="300" w:lineRule="exact"/>
              <w:jc w:val="center"/>
              <w:rPr>
                <w:rFonts w:ascii="仿宋_GB2312" w:hAnsi="宋体" w:eastAsia="仿宋_GB2312"/>
                <w:sz w:val="24"/>
                <w:szCs w:val="24"/>
              </w:rPr>
            </w:pPr>
            <w:r>
              <w:rPr>
                <w:rFonts w:hint="eastAsia" w:ascii="仿宋_GB2312" w:hAnsi="宋体" w:eastAsia="仿宋_GB2312"/>
                <w:sz w:val="24"/>
                <w:szCs w:val="24"/>
              </w:rPr>
              <w:t>区农业农村和水利局</w:t>
            </w:r>
          </w:p>
          <w:p w14:paraId="73D23E1E">
            <w:pPr>
              <w:spacing w:line="300" w:lineRule="exact"/>
              <w:jc w:val="center"/>
              <w:rPr>
                <w:rFonts w:ascii="仿宋_GB2312" w:hAnsi="宋体" w:eastAsia="仿宋_GB2312"/>
                <w:sz w:val="24"/>
                <w:szCs w:val="24"/>
              </w:rPr>
            </w:pPr>
            <w:r>
              <w:rPr>
                <w:rFonts w:hint="eastAsia" w:ascii="仿宋_GB2312" w:hAnsi="宋体" w:eastAsia="仿宋_GB2312"/>
                <w:sz w:val="24"/>
                <w:szCs w:val="24"/>
              </w:rPr>
              <w:t>区消防救援大队</w:t>
            </w:r>
          </w:p>
          <w:p w14:paraId="6218ACDB">
            <w:pPr>
              <w:spacing w:line="300" w:lineRule="exact"/>
              <w:jc w:val="center"/>
              <w:rPr>
                <w:rFonts w:ascii="仿宋_GB2312" w:hAnsi="宋体" w:eastAsia="仿宋_GB2312"/>
                <w:sz w:val="24"/>
                <w:szCs w:val="24"/>
              </w:rPr>
            </w:pPr>
            <w:r>
              <w:rPr>
                <w:rFonts w:hint="eastAsia" w:ascii="仿宋_GB2312" w:hAnsi="宋体" w:eastAsia="仿宋_GB2312"/>
                <w:sz w:val="24"/>
                <w:szCs w:val="24"/>
              </w:rPr>
              <w:t>区自然资源局</w:t>
            </w:r>
          </w:p>
          <w:p w14:paraId="348447C2">
            <w:pPr>
              <w:spacing w:line="300" w:lineRule="exact"/>
              <w:jc w:val="center"/>
              <w:rPr>
                <w:rFonts w:ascii="仿宋_GB2312" w:hAnsi="宋体" w:eastAsia="仿宋_GB2312"/>
                <w:sz w:val="24"/>
                <w:szCs w:val="24"/>
              </w:rPr>
            </w:pPr>
            <w:r>
              <w:rPr>
                <w:rFonts w:hint="eastAsia" w:ascii="仿宋_GB2312" w:hAnsi="宋体" w:eastAsia="仿宋_GB2312"/>
                <w:sz w:val="24"/>
                <w:szCs w:val="24"/>
              </w:rPr>
              <w:t>区发展和改革局</w:t>
            </w:r>
          </w:p>
          <w:p w14:paraId="6E5D2318">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区委办、区政府办公室</w:t>
            </w:r>
          </w:p>
          <w:p w14:paraId="080A91F6">
            <w:pPr>
              <w:spacing w:line="300" w:lineRule="exact"/>
              <w:jc w:val="center"/>
              <w:rPr>
                <w:rFonts w:ascii="仿宋_GB2312" w:hAnsi="宋体" w:eastAsia="仿宋_GB2312"/>
                <w:sz w:val="24"/>
                <w:szCs w:val="24"/>
              </w:rPr>
            </w:pPr>
            <w:r>
              <w:rPr>
                <w:rFonts w:hint="eastAsia" w:ascii="仿宋_GB2312" w:hAnsi="宋体" w:eastAsia="仿宋_GB2312"/>
                <w:sz w:val="24"/>
                <w:szCs w:val="24"/>
              </w:rPr>
              <w:t>区安委会成员单位</w:t>
            </w:r>
          </w:p>
          <w:p w14:paraId="1E3CE7FF">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71FAD79D">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017A99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1.区应急管理局已于2月20日挂牌成立。</w:t>
            </w:r>
          </w:p>
          <w:p w14:paraId="61CC2EF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2.已根据职能新组建8个工作组，并与原职能部门对接，调研掌握森林防火、三防指挥、民政救济、防震抗震职能的人、财、物情况及相关职能运行机制等。</w:t>
            </w:r>
          </w:p>
          <w:p w14:paraId="61124AD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3.以节后复工复产安全生产工作为抓手，开展“五个一”工作检查，督促企业落实安全生产主体责任；深刻吸取江苏响水天嘉宜公司“3</w:t>
            </w:r>
            <w:r>
              <w:rPr>
                <w:rFonts w:hint="eastAsia" w:ascii="宋体" w:hAnsi="宋体" w:cs="宋体"/>
                <w:sz w:val="24"/>
                <w:szCs w:val="24"/>
              </w:rPr>
              <w:t>•</w:t>
            </w:r>
            <w:r>
              <w:rPr>
                <w:rFonts w:hint="eastAsia" w:ascii="仿宋_GB2312" w:hAnsi="黑体" w:eastAsia="仿宋_GB2312" w:cs="Times New Roman"/>
                <w:sz w:val="24"/>
                <w:szCs w:val="24"/>
              </w:rPr>
              <w:t>21”特别重大爆炸事故教训，认真贯彻落实，组织开展涉及“两重点一重大”的化工和危化品企业安全生产执法检查，共检查危化品生产、经营企业13家，整治隐患11处；完成防汛防风和清明节前森林防灭火工作，已于3月21、22日对各镇、街开展防汛防风和清明节前森林防灭火督查工作，并做好省、市督查迎检工作。</w:t>
            </w:r>
          </w:p>
        </w:tc>
      </w:tr>
      <w:tr w14:paraId="3062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atLeast"/>
          <w:jc w:val="center"/>
        </w:trPr>
        <w:tc>
          <w:tcPr>
            <w:tcW w:w="543" w:type="dxa"/>
            <w:vAlign w:val="center"/>
          </w:tcPr>
          <w:p w14:paraId="7CBD1019">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52D14267">
            <w:pPr>
              <w:spacing w:line="300" w:lineRule="exact"/>
              <w:rPr>
                <w:rFonts w:ascii="仿宋_GB2312" w:hAnsi="宋体" w:eastAsia="仿宋_GB2312"/>
                <w:sz w:val="24"/>
                <w:szCs w:val="24"/>
              </w:rPr>
            </w:pPr>
            <w:r>
              <w:rPr>
                <w:rFonts w:hint="eastAsia" w:ascii="仿宋_GB2312" w:hAnsi="宋体" w:eastAsia="仿宋_GB2312"/>
                <w:sz w:val="24"/>
                <w:szCs w:val="24"/>
              </w:rPr>
              <w:t>全面完成党政机构改革各项工作，深化镇、街行政管理体制改革。</w:t>
            </w:r>
            <w:r>
              <w:rPr>
                <w:rFonts w:hint="eastAsia" w:ascii="仿宋_GB2312" w:hAnsi="宋体" w:eastAsia="仿宋_GB2312"/>
                <w:b/>
                <w:sz w:val="24"/>
                <w:szCs w:val="24"/>
              </w:rPr>
              <w:t>（牵头单位：区委编办）</w:t>
            </w:r>
          </w:p>
        </w:tc>
        <w:tc>
          <w:tcPr>
            <w:tcW w:w="1134" w:type="dxa"/>
            <w:vAlign w:val="center"/>
          </w:tcPr>
          <w:p w14:paraId="2E8304BB">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3F309766">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16D01E61">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区委编办</w:t>
            </w:r>
          </w:p>
          <w:p w14:paraId="5F3AEA46">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w:t>
            </w:r>
          </w:p>
        </w:tc>
        <w:tc>
          <w:tcPr>
            <w:tcW w:w="7187" w:type="dxa"/>
            <w:vAlign w:val="center"/>
          </w:tcPr>
          <w:p w14:paraId="69EC2C48">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已完成。</w:t>
            </w:r>
          </w:p>
          <w:p w14:paraId="7E16737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1.区委于2月11日召开了九届九次全会，审议并印发了《江门市蓬江区机构改革方案》及相关决议，全面部署区区级机构改革工作。</w:t>
            </w:r>
          </w:p>
          <w:p w14:paraId="16E77A3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2.区22个新组建党政部门于2月12日、20日先后分两批挂牌成立，新组建部门领导班子全部到位，机构改革工作取得了阶段性成果。</w:t>
            </w:r>
          </w:p>
          <w:p w14:paraId="728F562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区委机构深改办在前期调研听取意见基础上，根据区机构设置情况，多次研究机构改革配套落实措施。2019年2月14日，区委机构深改组审议通过了《江门市蓬江区机构改革实施方案》等20多份配套改革部门职能划转、内设机构、人员编制、领导职数设置等相关文件，明确了区党政部门职责调整、人员编制配备具体意见。</w:t>
            </w:r>
          </w:p>
          <w:p w14:paraId="689A40F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4.区委机构深改办于2月18日举办全区机构改革业务对接会议，由区委办、区委组织部、区委编办、区财政局等部门进行专题业务授课，编撰印发《蓬江区级机构改革文件汇编》共13份配套文件。</w:t>
            </w:r>
          </w:p>
          <w:p w14:paraId="6780DC7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区委机构深改办邀请区公职律师事务所2名专业律师对区直部门“三定”规定进行审查，确保“三定”规定合法合规。3月22日，根据市委机构深改组工作要求，区委机构深改组会议审议并分批印发了31个部门的“三定”规定方案和职能调整文件。</w:t>
            </w:r>
          </w:p>
        </w:tc>
      </w:tr>
      <w:tr w14:paraId="6F5D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543" w:type="dxa"/>
            <w:vAlign w:val="center"/>
          </w:tcPr>
          <w:p w14:paraId="60136AA8">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DB34ECE">
            <w:pPr>
              <w:spacing w:line="300" w:lineRule="exact"/>
              <w:rPr>
                <w:rFonts w:ascii="仿宋_GB2312" w:hAnsi="宋体" w:eastAsia="仿宋_GB2312"/>
                <w:sz w:val="24"/>
                <w:szCs w:val="24"/>
              </w:rPr>
            </w:pPr>
            <w:r>
              <w:rPr>
                <w:rFonts w:hint="eastAsia" w:ascii="仿宋_GB2312" w:hAnsi="宋体" w:eastAsia="仿宋_GB2312"/>
                <w:sz w:val="24"/>
                <w:szCs w:val="24"/>
              </w:rPr>
              <w:t>推进承担行政职能事业单位改革和公益类事业单位改革。</w:t>
            </w:r>
            <w:r>
              <w:rPr>
                <w:rFonts w:hint="eastAsia" w:ascii="仿宋_GB2312" w:hAnsi="宋体" w:eastAsia="仿宋_GB2312"/>
                <w:b/>
                <w:sz w:val="24"/>
                <w:szCs w:val="24"/>
              </w:rPr>
              <w:t>（牵头单位：区委编办）</w:t>
            </w:r>
          </w:p>
        </w:tc>
        <w:tc>
          <w:tcPr>
            <w:tcW w:w="1134" w:type="dxa"/>
            <w:vAlign w:val="center"/>
          </w:tcPr>
          <w:p w14:paraId="7F448BA1">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3F7AD75F">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区委编办</w:t>
            </w:r>
          </w:p>
          <w:p w14:paraId="6350E8A5">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w:t>
            </w:r>
          </w:p>
        </w:tc>
        <w:tc>
          <w:tcPr>
            <w:tcW w:w="7187" w:type="dxa"/>
            <w:vAlign w:val="center"/>
          </w:tcPr>
          <w:p w14:paraId="696D1562">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5E0B9A4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1.已完成区直承担行政职能事业单位改革工作，根据中央和省明确对承担行政职能的事业单位要纳入市县机构改革统筹推进、同步实施，完全、主要和部分承担行政职能的事业单位，均纳入改革实施范围。</w:t>
            </w:r>
          </w:p>
          <w:p w14:paraId="63054F5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完成区直承担行政职能事业单位改革的检查验收工作。事业单位承担的行政职能的清理，已在机关“三定”规定、事业单位调整方案中予以明确，行政机关的“三定”规定明确承担相关行政职能，事业单位的调整方案将明确不再承担相关行政职能。</w:t>
            </w:r>
          </w:p>
          <w:p w14:paraId="762CF35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正按照政事分开、事企分开和管办分离的要求，开展调研区直公益类事业单位改革相关工作。结合区的实际，对拟撤销或“转企改制”的事业单位、公益类的事业单位改革，按照中央和省对市县机构改革的部署，开展调研并提出下一步推进计划。</w:t>
            </w:r>
          </w:p>
        </w:tc>
      </w:tr>
      <w:tr w14:paraId="6CD0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543" w:type="dxa"/>
            <w:vAlign w:val="center"/>
          </w:tcPr>
          <w:p w14:paraId="04E9607C">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0F31195">
            <w:pPr>
              <w:spacing w:line="300" w:lineRule="exact"/>
              <w:rPr>
                <w:rFonts w:ascii="仿宋_GB2312" w:hAnsi="宋体" w:eastAsia="仿宋_GB2312"/>
                <w:sz w:val="24"/>
                <w:szCs w:val="24"/>
              </w:rPr>
            </w:pPr>
            <w:r>
              <w:rPr>
                <w:rFonts w:hint="eastAsia" w:ascii="仿宋_GB2312" w:hAnsi="宋体" w:eastAsia="仿宋_GB2312"/>
                <w:sz w:val="24"/>
                <w:szCs w:val="24"/>
              </w:rPr>
              <w:t>深化落实“数字政府”改革部署，加快推进“政务上云”工程，配合市大力推动政务服务事项“网上办”。</w:t>
            </w:r>
            <w:r>
              <w:rPr>
                <w:rFonts w:hint="eastAsia" w:ascii="仿宋_GB2312" w:hAnsi="宋体" w:eastAsia="仿宋_GB2312"/>
                <w:b/>
                <w:sz w:val="24"/>
                <w:szCs w:val="24"/>
              </w:rPr>
              <w:t>（牵头单位：区政务服务数据管理局）</w:t>
            </w:r>
          </w:p>
        </w:tc>
        <w:tc>
          <w:tcPr>
            <w:tcW w:w="1134" w:type="dxa"/>
            <w:vAlign w:val="center"/>
          </w:tcPr>
          <w:p w14:paraId="495F0731">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4AE85185">
            <w:pPr>
              <w:spacing w:line="300" w:lineRule="exact"/>
              <w:jc w:val="center"/>
              <w:rPr>
                <w:rFonts w:ascii="仿宋_GB2312" w:hAnsi="宋体" w:eastAsia="仿宋_GB2312"/>
                <w:sz w:val="24"/>
                <w:szCs w:val="24"/>
              </w:rPr>
            </w:pPr>
            <w:r>
              <w:rPr>
                <w:rFonts w:hint="eastAsia" w:ascii="仿宋_GB2312" w:hAnsi="宋体" w:eastAsia="仿宋_GB2312"/>
                <w:sz w:val="24"/>
                <w:szCs w:val="24"/>
              </w:rPr>
              <w:t>区政务服务数据管理局</w:t>
            </w:r>
          </w:p>
          <w:p w14:paraId="392D16CB">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w:t>
            </w:r>
          </w:p>
        </w:tc>
        <w:tc>
          <w:tcPr>
            <w:tcW w:w="7187" w:type="dxa"/>
            <w:vAlign w:val="center"/>
          </w:tcPr>
          <w:p w14:paraId="5C36E92C">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1DA29C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已完成政府中心机房安全建设项目第一阶段设备安装调试。</w:t>
            </w:r>
          </w:p>
        </w:tc>
      </w:tr>
      <w:tr w14:paraId="29DA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543" w:type="dxa"/>
            <w:vAlign w:val="center"/>
          </w:tcPr>
          <w:p w14:paraId="055334BE">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720D927">
            <w:pPr>
              <w:spacing w:line="300" w:lineRule="exact"/>
              <w:rPr>
                <w:rFonts w:ascii="仿宋_GB2312" w:hAnsi="宋体" w:eastAsia="仿宋_GB2312"/>
                <w:sz w:val="24"/>
                <w:szCs w:val="24"/>
              </w:rPr>
            </w:pPr>
            <w:r>
              <w:rPr>
                <w:rFonts w:hint="eastAsia" w:ascii="仿宋_GB2312" w:hAnsi="宋体" w:eastAsia="仿宋_GB2312"/>
                <w:sz w:val="24"/>
                <w:szCs w:val="24"/>
              </w:rPr>
              <w:t>深入推进法治政府建设，严格规范公正文明执法。</w:t>
            </w:r>
            <w:r>
              <w:rPr>
                <w:rFonts w:hint="eastAsia" w:ascii="仿宋_GB2312" w:hAnsi="宋体" w:eastAsia="仿宋_GB2312"/>
                <w:b/>
                <w:sz w:val="24"/>
                <w:szCs w:val="24"/>
              </w:rPr>
              <w:t>（牵头单位：区司法局）</w:t>
            </w:r>
          </w:p>
        </w:tc>
        <w:tc>
          <w:tcPr>
            <w:tcW w:w="1134" w:type="dxa"/>
            <w:vAlign w:val="center"/>
          </w:tcPr>
          <w:p w14:paraId="0C13950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李沃健</w:t>
            </w:r>
          </w:p>
        </w:tc>
        <w:tc>
          <w:tcPr>
            <w:tcW w:w="3119" w:type="dxa"/>
            <w:vAlign w:val="center"/>
          </w:tcPr>
          <w:p w14:paraId="1B0FAC7B">
            <w:pPr>
              <w:spacing w:line="300" w:lineRule="exact"/>
              <w:jc w:val="center"/>
              <w:rPr>
                <w:rFonts w:ascii="仿宋_GB2312" w:hAnsi="宋体" w:eastAsia="仿宋_GB2312"/>
                <w:sz w:val="24"/>
                <w:szCs w:val="24"/>
              </w:rPr>
            </w:pPr>
            <w:r>
              <w:rPr>
                <w:rFonts w:hint="eastAsia" w:ascii="仿宋_GB2312" w:hAnsi="宋体" w:eastAsia="仿宋_GB2312"/>
                <w:sz w:val="24"/>
                <w:szCs w:val="24"/>
              </w:rPr>
              <w:t>区司法局</w:t>
            </w:r>
          </w:p>
          <w:p w14:paraId="66113635">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w:t>
            </w:r>
          </w:p>
          <w:p w14:paraId="7623EF66">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708E48F2">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6EB26E7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已在区政府门户网站首页（www.pjq.gov.cn）设置行政执法公示专栏，各行政执法部门均已在专栏上公示行政执法信息；已组织各行政执法部门在广东省行政执法信息公示平台录入并上传2018年行政执法年度数据。</w:t>
            </w:r>
          </w:p>
        </w:tc>
      </w:tr>
      <w:tr w14:paraId="494B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543" w:type="dxa"/>
            <w:vAlign w:val="center"/>
          </w:tcPr>
          <w:p w14:paraId="6AF2D8D2">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0714306">
            <w:pPr>
              <w:spacing w:line="300" w:lineRule="exact"/>
              <w:rPr>
                <w:rFonts w:ascii="仿宋_GB2312" w:hAnsi="宋体" w:eastAsia="仿宋_GB2312"/>
                <w:sz w:val="24"/>
                <w:szCs w:val="24"/>
              </w:rPr>
            </w:pPr>
            <w:r>
              <w:rPr>
                <w:rFonts w:hint="eastAsia" w:ascii="仿宋_GB2312" w:hAnsi="宋体" w:eastAsia="仿宋_GB2312"/>
                <w:sz w:val="24"/>
                <w:szCs w:val="24"/>
              </w:rPr>
              <w:t>全面落实司法责任制，深化司法体制综合配套改革。</w:t>
            </w:r>
            <w:r>
              <w:rPr>
                <w:rFonts w:hint="eastAsia" w:ascii="仿宋_GB2312" w:hAnsi="宋体" w:eastAsia="仿宋_GB2312"/>
                <w:b/>
                <w:sz w:val="24"/>
                <w:szCs w:val="24"/>
              </w:rPr>
              <w:t>（牵头单位：区委政法委）</w:t>
            </w:r>
          </w:p>
        </w:tc>
        <w:tc>
          <w:tcPr>
            <w:tcW w:w="1134" w:type="dxa"/>
            <w:vAlign w:val="center"/>
          </w:tcPr>
          <w:p w14:paraId="14D38D16">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林伟勤</w:t>
            </w:r>
          </w:p>
        </w:tc>
        <w:tc>
          <w:tcPr>
            <w:tcW w:w="3119" w:type="dxa"/>
            <w:vAlign w:val="center"/>
          </w:tcPr>
          <w:p w14:paraId="0B57373C">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区委政法委</w:t>
            </w:r>
          </w:p>
          <w:p w14:paraId="1BB9CFEA">
            <w:pPr>
              <w:spacing w:line="300" w:lineRule="exact"/>
              <w:jc w:val="center"/>
              <w:rPr>
                <w:rFonts w:ascii="仿宋_GB2312" w:hAnsi="宋体" w:eastAsia="仿宋_GB2312"/>
                <w:sz w:val="24"/>
                <w:szCs w:val="24"/>
              </w:rPr>
            </w:pPr>
            <w:r>
              <w:rPr>
                <w:rFonts w:hint="eastAsia" w:ascii="仿宋_GB2312" w:hAnsi="宋体" w:eastAsia="仿宋_GB2312"/>
                <w:sz w:val="24"/>
                <w:szCs w:val="24"/>
              </w:rPr>
              <w:t>区法院</w:t>
            </w:r>
          </w:p>
          <w:p w14:paraId="091B4659">
            <w:pPr>
              <w:spacing w:line="300" w:lineRule="exact"/>
              <w:jc w:val="center"/>
              <w:rPr>
                <w:rFonts w:ascii="仿宋_GB2312" w:hAnsi="宋体" w:eastAsia="仿宋_GB2312"/>
                <w:sz w:val="24"/>
                <w:szCs w:val="24"/>
              </w:rPr>
            </w:pPr>
            <w:r>
              <w:rPr>
                <w:rFonts w:hint="eastAsia" w:ascii="仿宋_GB2312" w:hAnsi="宋体" w:eastAsia="仿宋_GB2312"/>
                <w:sz w:val="24"/>
                <w:szCs w:val="24"/>
              </w:rPr>
              <w:t>区检察院</w:t>
            </w:r>
          </w:p>
          <w:p w14:paraId="784103E4">
            <w:pPr>
              <w:spacing w:line="300" w:lineRule="exact"/>
              <w:jc w:val="center"/>
              <w:rPr>
                <w:rFonts w:ascii="仿宋_GB2312" w:hAnsi="宋体" w:eastAsia="仿宋_GB2312"/>
                <w:sz w:val="24"/>
                <w:szCs w:val="24"/>
              </w:rPr>
            </w:pPr>
            <w:r>
              <w:rPr>
                <w:rFonts w:hint="eastAsia" w:ascii="仿宋_GB2312" w:hAnsi="宋体" w:eastAsia="仿宋_GB2312"/>
                <w:sz w:val="24"/>
                <w:szCs w:val="24"/>
              </w:rPr>
              <w:t>区公安分局</w:t>
            </w:r>
          </w:p>
          <w:p w14:paraId="73BA25D8">
            <w:pPr>
              <w:spacing w:line="300" w:lineRule="exact"/>
              <w:jc w:val="center"/>
              <w:rPr>
                <w:rFonts w:ascii="仿宋_GB2312" w:hAnsi="宋体" w:eastAsia="仿宋_GB2312"/>
                <w:sz w:val="24"/>
                <w:szCs w:val="24"/>
              </w:rPr>
            </w:pPr>
            <w:r>
              <w:rPr>
                <w:rFonts w:hint="eastAsia" w:ascii="仿宋_GB2312" w:hAnsi="宋体" w:eastAsia="仿宋_GB2312"/>
                <w:sz w:val="24"/>
                <w:szCs w:val="24"/>
              </w:rPr>
              <w:t>区司法局</w:t>
            </w:r>
          </w:p>
        </w:tc>
        <w:tc>
          <w:tcPr>
            <w:tcW w:w="7187" w:type="dxa"/>
            <w:vAlign w:val="center"/>
          </w:tcPr>
          <w:p w14:paraId="67784C28">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1195924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机构改革正稳妥推进，区公、检、法、司四个单位均已经制定内设机构改革方案，区公、检、法三个单位均已结合本单位实际对绩效考核方案作出修订，并分别制订了对应的人员权责规定，严格规范了执法办案行为，明确了人员的权力清单、责任清单。</w:t>
            </w:r>
          </w:p>
          <w:p w14:paraId="0759E45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2.智慧新警务建设正有序推进，多元化矛盾纠纷化解机制进一步完善。</w:t>
            </w:r>
          </w:p>
          <w:p w14:paraId="0242B12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3.刑事案件律师辩护全覆盖成效显著，一季度共受理法律援助203件。</w:t>
            </w:r>
          </w:p>
        </w:tc>
      </w:tr>
      <w:tr w14:paraId="00D5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543" w:type="dxa"/>
            <w:vAlign w:val="center"/>
          </w:tcPr>
          <w:p w14:paraId="244F9252">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A7C75AA">
            <w:pPr>
              <w:spacing w:line="300" w:lineRule="exact"/>
              <w:rPr>
                <w:rFonts w:ascii="仿宋_GB2312" w:hAnsi="宋体" w:eastAsia="仿宋_GB2312"/>
                <w:sz w:val="24"/>
                <w:szCs w:val="24"/>
              </w:rPr>
            </w:pPr>
            <w:r>
              <w:rPr>
                <w:rFonts w:hint="eastAsia" w:ascii="仿宋_GB2312" w:hAnsi="宋体" w:eastAsia="仿宋_GB2312"/>
                <w:sz w:val="24"/>
                <w:szCs w:val="24"/>
              </w:rPr>
              <w:t>继续深化法治“四级同创”活动，深入开展法治区、法治镇（街）和民主法治村（居）创建，落实“一村（居）一法律顾问”建设。</w:t>
            </w:r>
            <w:r>
              <w:rPr>
                <w:rFonts w:hint="eastAsia" w:ascii="仿宋_GB2312" w:hAnsi="宋体" w:eastAsia="仿宋_GB2312"/>
                <w:b/>
                <w:sz w:val="24"/>
                <w:szCs w:val="24"/>
              </w:rPr>
              <w:t>（牵头单位：区司法局）</w:t>
            </w:r>
          </w:p>
        </w:tc>
        <w:tc>
          <w:tcPr>
            <w:tcW w:w="1134" w:type="dxa"/>
            <w:vAlign w:val="center"/>
          </w:tcPr>
          <w:p w14:paraId="2E03CAD0">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李沃健</w:t>
            </w:r>
          </w:p>
        </w:tc>
        <w:tc>
          <w:tcPr>
            <w:tcW w:w="3119" w:type="dxa"/>
            <w:vAlign w:val="center"/>
          </w:tcPr>
          <w:p w14:paraId="4F534BA5">
            <w:pPr>
              <w:spacing w:line="300" w:lineRule="exact"/>
              <w:jc w:val="center"/>
              <w:rPr>
                <w:rFonts w:ascii="仿宋_GB2312" w:hAnsi="宋体" w:eastAsia="仿宋_GB2312"/>
                <w:sz w:val="24"/>
                <w:szCs w:val="24"/>
              </w:rPr>
            </w:pPr>
            <w:r>
              <w:rPr>
                <w:rFonts w:hint="eastAsia" w:ascii="仿宋_GB2312" w:hAnsi="宋体" w:eastAsia="仿宋_GB2312"/>
                <w:sz w:val="24"/>
                <w:szCs w:val="24"/>
              </w:rPr>
              <w:t>区司法局</w:t>
            </w:r>
          </w:p>
          <w:p w14:paraId="12C0DDBB">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Align w:val="center"/>
          </w:tcPr>
          <w:p w14:paraId="3C6CF0F1">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1E7ED0D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于3月完成全区法治镇、街和民主法治村（居）的摸底调研，所有镇（街）、村（社区）已达到省级创建标准；全区各镇（街）、89条村（社区）均已通过了省级创建考评验收，余下的村（社区）已全部参与申报省级民主法治村（社区）创建；已于1月完成2018年下半年村（社区）法律顾问量化考核评分。</w:t>
            </w:r>
          </w:p>
        </w:tc>
      </w:tr>
      <w:tr w14:paraId="78AC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543" w:type="dxa"/>
            <w:vAlign w:val="center"/>
          </w:tcPr>
          <w:p w14:paraId="3BE0F6E9">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50EC651B">
            <w:pPr>
              <w:spacing w:line="300" w:lineRule="exact"/>
              <w:rPr>
                <w:rFonts w:ascii="仿宋_GB2312" w:hAnsi="宋体" w:eastAsia="仿宋_GB2312"/>
                <w:sz w:val="24"/>
                <w:szCs w:val="24"/>
              </w:rPr>
            </w:pPr>
            <w:r>
              <w:rPr>
                <w:rFonts w:hint="eastAsia" w:ascii="仿宋_GB2312" w:hAnsi="宋体" w:eastAsia="仿宋_GB2312"/>
                <w:sz w:val="24"/>
                <w:szCs w:val="24"/>
              </w:rPr>
              <w:t>加强党的基层组织建设，深入实施基层党建“十大专项行动”。</w:t>
            </w:r>
            <w:r>
              <w:rPr>
                <w:rFonts w:hint="eastAsia" w:ascii="仿宋_GB2312" w:hAnsi="宋体" w:eastAsia="仿宋_GB2312"/>
                <w:b/>
                <w:sz w:val="24"/>
                <w:szCs w:val="24"/>
              </w:rPr>
              <w:t>（牵头单位：区委组织部）</w:t>
            </w:r>
          </w:p>
        </w:tc>
        <w:tc>
          <w:tcPr>
            <w:tcW w:w="1134" w:type="dxa"/>
            <w:vAlign w:val="center"/>
          </w:tcPr>
          <w:p w14:paraId="1E3DFD4F">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526F80EB">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31055183">
            <w:pPr>
              <w:spacing w:line="300" w:lineRule="exact"/>
              <w:jc w:val="center"/>
              <w:rPr>
                <w:rFonts w:ascii="仿宋_GB2312" w:hAnsi="宋体" w:eastAsia="仿宋_GB2312"/>
                <w:sz w:val="24"/>
                <w:szCs w:val="24"/>
              </w:rPr>
            </w:pPr>
            <w:r>
              <w:rPr>
                <w:rFonts w:hint="eastAsia" w:ascii="仿宋_GB2312" w:hAnsi="宋体" w:eastAsia="仿宋_GB2312"/>
                <w:sz w:val="24"/>
                <w:szCs w:val="24"/>
              </w:rPr>
              <w:t>棠下镇</w:t>
            </w:r>
          </w:p>
          <w:p w14:paraId="3A27F218">
            <w:pPr>
              <w:spacing w:line="300" w:lineRule="exact"/>
              <w:jc w:val="center"/>
              <w:rPr>
                <w:rFonts w:ascii="仿宋_GB2312" w:hAnsi="宋体" w:eastAsia="仿宋_GB2312"/>
                <w:sz w:val="24"/>
                <w:szCs w:val="24"/>
              </w:rPr>
            </w:pPr>
            <w:r>
              <w:rPr>
                <w:rFonts w:hint="eastAsia" w:ascii="仿宋_GB2312" w:hAnsi="宋体" w:eastAsia="仿宋_GB2312"/>
                <w:sz w:val="24"/>
                <w:szCs w:val="24"/>
              </w:rPr>
              <w:t>杜阮镇</w:t>
            </w:r>
          </w:p>
          <w:p w14:paraId="22AD4A41">
            <w:pPr>
              <w:spacing w:line="300" w:lineRule="exact"/>
              <w:jc w:val="center"/>
              <w:rPr>
                <w:rFonts w:ascii="仿宋_GB2312" w:hAnsi="宋体" w:eastAsia="仿宋_GB2312"/>
                <w:sz w:val="24"/>
                <w:szCs w:val="24"/>
              </w:rPr>
            </w:pPr>
            <w:r>
              <w:rPr>
                <w:rFonts w:hint="eastAsia" w:ascii="仿宋_GB2312" w:hAnsi="宋体" w:eastAsia="仿宋_GB2312"/>
                <w:sz w:val="24"/>
                <w:szCs w:val="24"/>
              </w:rPr>
              <w:t>环市街</w:t>
            </w:r>
          </w:p>
          <w:p w14:paraId="5C26EA46">
            <w:pPr>
              <w:spacing w:line="300" w:lineRule="exact"/>
              <w:jc w:val="center"/>
              <w:rPr>
                <w:rFonts w:ascii="仿宋_GB2312" w:hAnsi="宋体" w:eastAsia="仿宋_GB2312"/>
                <w:sz w:val="24"/>
                <w:szCs w:val="24"/>
              </w:rPr>
            </w:pPr>
            <w:r>
              <w:rPr>
                <w:rFonts w:hint="eastAsia" w:ascii="仿宋_GB2312" w:hAnsi="宋体" w:eastAsia="仿宋_GB2312"/>
                <w:sz w:val="24"/>
                <w:szCs w:val="24"/>
              </w:rPr>
              <w:t>潮连街</w:t>
            </w:r>
          </w:p>
          <w:p w14:paraId="266A206D">
            <w:pPr>
              <w:spacing w:line="300" w:lineRule="exact"/>
              <w:jc w:val="center"/>
              <w:rPr>
                <w:rFonts w:ascii="仿宋_GB2312" w:hAnsi="宋体" w:eastAsia="仿宋_GB2312"/>
                <w:sz w:val="24"/>
                <w:szCs w:val="24"/>
              </w:rPr>
            </w:pPr>
            <w:r>
              <w:rPr>
                <w:rFonts w:hint="eastAsia" w:ascii="仿宋_GB2312" w:hAnsi="宋体" w:eastAsia="仿宋_GB2312"/>
                <w:sz w:val="24"/>
                <w:szCs w:val="24"/>
              </w:rPr>
              <w:t>白沙街</w:t>
            </w:r>
          </w:p>
        </w:tc>
        <w:tc>
          <w:tcPr>
            <w:tcW w:w="7187" w:type="dxa"/>
            <w:vAlign w:val="center"/>
          </w:tcPr>
          <w:p w14:paraId="4640962A">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153B906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1.现正不断提升规范化建设水平，抓细抓实基本制度落实情况，深化石头村、禾冈村、松岭村等红色村建设，挖掘红色资源，打造先进典型，规范基层组织运作，提升基层党组织组织力。</w:t>
            </w:r>
          </w:p>
          <w:p w14:paraId="475E883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2.计划年底前实现社区“大党委”全覆盖，并规范运作机制，发挥共建共享共治实效。</w:t>
            </w:r>
          </w:p>
        </w:tc>
      </w:tr>
      <w:tr w14:paraId="405B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43" w:type="dxa"/>
            <w:vMerge w:val="restart"/>
            <w:vAlign w:val="center"/>
          </w:tcPr>
          <w:p w14:paraId="4EAB8014">
            <w:pPr>
              <w:numPr>
                <w:ilvl w:val="0"/>
                <w:numId w:val="2"/>
              </w:numPr>
              <w:spacing w:line="300" w:lineRule="exact"/>
              <w:jc w:val="center"/>
              <w:rPr>
                <w:rFonts w:ascii="仿宋_GB2312" w:hAnsi="黑体" w:eastAsia="仿宋_GB2312" w:cs="仿宋_GB2312"/>
                <w:sz w:val="24"/>
                <w:szCs w:val="24"/>
              </w:rPr>
            </w:pPr>
          </w:p>
        </w:tc>
        <w:tc>
          <w:tcPr>
            <w:tcW w:w="3415" w:type="dxa"/>
            <w:gridSpan w:val="3"/>
            <w:vMerge w:val="restart"/>
            <w:vAlign w:val="center"/>
          </w:tcPr>
          <w:p w14:paraId="73B82250">
            <w:pPr>
              <w:spacing w:line="300" w:lineRule="exact"/>
              <w:rPr>
                <w:rFonts w:ascii="仿宋_GB2312" w:hAnsi="宋体" w:eastAsia="仿宋_GB2312"/>
                <w:sz w:val="24"/>
                <w:szCs w:val="24"/>
              </w:rPr>
            </w:pPr>
            <w:r>
              <w:rPr>
                <w:rFonts w:hint="eastAsia" w:ascii="仿宋_GB2312" w:hAnsi="宋体" w:eastAsia="仿宋_GB2312"/>
                <w:sz w:val="24"/>
                <w:szCs w:val="24"/>
              </w:rPr>
              <w:t>加强党的基层组织建设，深入实施基层党建“十大专项行动”。</w:t>
            </w:r>
            <w:r>
              <w:rPr>
                <w:rFonts w:hint="eastAsia" w:ascii="仿宋_GB2312" w:hAnsi="宋体" w:eastAsia="仿宋_GB2312"/>
                <w:b/>
                <w:sz w:val="24"/>
                <w:szCs w:val="24"/>
              </w:rPr>
              <w:t>（牵头单位：区委组织部）</w:t>
            </w:r>
          </w:p>
        </w:tc>
        <w:tc>
          <w:tcPr>
            <w:tcW w:w="1134" w:type="dxa"/>
            <w:vMerge w:val="restart"/>
            <w:vAlign w:val="center"/>
          </w:tcPr>
          <w:p w14:paraId="1BE11E95">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2D4CF3F4">
            <w:pPr>
              <w:spacing w:line="32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57C75606">
            <w:pPr>
              <w:spacing w:line="320" w:lineRule="exact"/>
              <w:jc w:val="center"/>
              <w:rPr>
                <w:rFonts w:ascii="仿宋_GB2312" w:hAnsi="宋体" w:eastAsia="仿宋_GB2312"/>
                <w:sz w:val="24"/>
                <w:szCs w:val="24"/>
              </w:rPr>
            </w:pPr>
            <w:r>
              <w:rPr>
                <w:rFonts w:hint="eastAsia" w:ascii="仿宋_GB2312" w:hAnsi="宋体" w:eastAsia="仿宋_GB2312"/>
                <w:sz w:val="24"/>
                <w:szCs w:val="24"/>
              </w:rPr>
              <w:t>棠下镇</w:t>
            </w:r>
          </w:p>
          <w:p w14:paraId="4E4D689C">
            <w:pPr>
              <w:spacing w:line="320" w:lineRule="exact"/>
              <w:jc w:val="center"/>
              <w:rPr>
                <w:rFonts w:ascii="仿宋_GB2312" w:hAnsi="宋体" w:eastAsia="仿宋_GB2312"/>
                <w:sz w:val="24"/>
                <w:szCs w:val="24"/>
              </w:rPr>
            </w:pPr>
            <w:r>
              <w:rPr>
                <w:rFonts w:hint="eastAsia" w:ascii="仿宋_GB2312" w:hAnsi="宋体" w:eastAsia="仿宋_GB2312"/>
                <w:sz w:val="24"/>
                <w:szCs w:val="24"/>
              </w:rPr>
              <w:t>荷塘镇</w:t>
            </w:r>
          </w:p>
          <w:p w14:paraId="5EC5CB29">
            <w:pPr>
              <w:spacing w:line="320" w:lineRule="exact"/>
              <w:jc w:val="center"/>
              <w:rPr>
                <w:rFonts w:ascii="仿宋_GB2312" w:hAnsi="宋体" w:eastAsia="仿宋_GB2312"/>
                <w:sz w:val="24"/>
                <w:szCs w:val="24"/>
              </w:rPr>
            </w:pPr>
            <w:r>
              <w:rPr>
                <w:rFonts w:hint="eastAsia" w:ascii="仿宋_GB2312" w:hAnsi="宋体" w:eastAsia="仿宋_GB2312"/>
                <w:sz w:val="24"/>
                <w:szCs w:val="24"/>
              </w:rPr>
              <w:t>杜阮镇</w:t>
            </w:r>
          </w:p>
        </w:tc>
        <w:tc>
          <w:tcPr>
            <w:tcW w:w="7187" w:type="dxa"/>
            <w:vMerge w:val="restart"/>
            <w:vAlign w:val="center"/>
          </w:tcPr>
          <w:p w14:paraId="5E83F187">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1897CCA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 选拔有能力、有文化、有口碑的本村外出务工经商人员、农村创业致富带头人、返乡大学生中的优秀党员担任村党组织书记，选优配强基层党组织书记，并按照1:2的比例建立村（社区）党组织书记后备队伍，现已建立起 311 人的村后备干部队伍。</w:t>
            </w:r>
          </w:p>
          <w:p w14:paraId="54CDACF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w:t>
            </w:r>
            <w:r>
              <w:rPr>
                <w:rFonts w:hint="eastAsia"/>
              </w:rPr>
              <w:t>已</w:t>
            </w:r>
            <w:r>
              <w:rPr>
                <w:rFonts w:hint="eastAsia" w:ascii="仿宋_GB2312" w:hAnsi="黑体" w:eastAsia="仿宋_GB2312" w:cs="Times New Roman"/>
                <w:sz w:val="24"/>
                <w:szCs w:val="24"/>
              </w:rPr>
              <w:t>调整了棠下镇周郡村、杜阮镇木朗村党组织书记，并实行任职资格联审。</w:t>
            </w:r>
          </w:p>
          <w:p w14:paraId="01E29BF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w:t>
            </w:r>
            <w:r>
              <w:t xml:space="preserve"> </w:t>
            </w:r>
            <w:r>
              <w:rPr>
                <w:rFonts w:hint="eastAsia" w:ascii="仿宋_GB2312" w:hAnsi="黑体" w:eastAsia="仿宋_GB2312" w:cs="Times New Roman"/>
                <w:sz w:val="24"/>
                <w:szCs w:val="24"/>
              </w:rPr>
              <w:t>正对所有村（社区）党组织进行“拉网式”“地毯式”排查，逐一甄别、分析研判，计划新增两个软弱涣散村党组织。</w:t>
            </w:r>
          </w:p>
          <w:p w14:paraId="64F69DE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重点发挥国企党组织领导作用，落实好党组织书记、董事长“一肩挑”等74条党建重点任务措施。实施扩面提质专项行动，提高“两新”组织党的组织、工作“两个覆盖”质量，统筹推进园区、商圈市场、商务楼宇等新兴领域党建工作，做到应建尽建、有效覆盖。</w:t>
            </w:r>
          </w:p>
        </w:tc>
      </w:tr>
      <w:tr w14:paraId="478B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43" w:type="dxa"/>
            <w:vMerge w:val="continue"/>
            <w:vAlign w:val="center"/>
          </w:tcPr>
          <w:p w14:paraId="7791B3AF">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612E3725">
            <w:pPr>
              <w:spacing w:line="300" w:lineRule="exact"/>
              <w:rPr>
                <w:rFonts w:ascii="仿宋_GB2312" w:hAnsi="宋体" w:eastAsia="仿宋_GB2312"/>
                <w:sz w:val="24"/>
                <w:szCs w:val="24"/>
              </w:rPr>
            </w:pPr>
          </w:p>
        </w:tc>
        <w:tc>
          <w:tcPr>
            <w:tcW w:w="1134" w:type="dxa"/>
            <w:vMerge w:val="continue"/>
            <w:vAlign w:val="center"/>
          </w:tcPr>
          <w:p w14:paraId="0DCDA0B9">
            <w:pPr>
              <w:spacing w:line="300" w:lineRule="exact"/>
              <w:jc w:val="center"/>
              <w:rPr>
                <w:rFonts w:ascii="仿宋_GB2312" w:hAnsi="宋体" w:eastAsia="仿宋_GB2312" w:cs="Times New Roman"/>
                <w:sz w:val="24"/>
                <w:szCs w:val="24"/>
              </w:rPr>
            </w:pPr>
          </w:p>
        </w:tc>
        <w:tc>
          <w:tcPr>
            <w:tcW w:w="3119" w:type="dxa"/>
            <w:vAlign w:val="center"/>
          </w:tcPr>
          <w:p w14:paraId="48D1BA2E">
            <w:pPr>
              <w:spacing w:line="32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6E2FA5B3">
            <w:pPr>
              <w:spacing w:line="320" w:lineRule="exact"/>
              <w:jc w:val="center"/>
              <w:rPr>
                <w:rFonts w:ascii="仿宋_GB2312" w:hAnsi="宋体" w:eastAsia="仿宋_GB2312"/>
                <w:sz w:val="24"/>
                <w:szCs w:val="24"/>
              </w:rPr>
            </w:pPr>
            <w:r>
              <w:rPr>
                <w:rFonts w:hint="eastAsia" w:ascii="仿宋_GB2312" w:hAnsi="宋体" w:eastAsia="仿宋_GB2312"/>
                <w:sz w:val="24"/>
                <w:szCs w:val="24"/>
              </w:rPr>
              <w:t>各镇、街</w:t>
            </w:r>
          </w:p>
        </w:tc>
        <w:tc>
          <w:tcPr>
            <w:tcW w:w="7187" w:type="dxa"/>
            <w:vMerge w:val="continue"/>
            <w:vAlign w:val="center"/>
          </w:tcPr>
          <w:p w14:paraId="3BDE601D">
            <w:pPr>
              <w:spacing w:line="300" w:lineRule="exact"/>
              <w:ind w:firstLine="480" w:firstLineChars="200"/>
              <w:rPr>
                <w:rFonts w:ascii="仿宋_GB2312" w:hAnsi="黑体" w:eastAsia="仿宋_GB2312" w:cs="Times New Roman"/>
                <w:sz w:val="24"/>
                <w:szCs w:val="24"/>
              </w:rPr>
            </w:pPr>
          </w:p>
        </w:tc>
      </w:tr>
      <w:tr w14:paraId="409C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43" w:type="dxa"/>
            <w:vMerge w:val="continue"/>
            <w:vAlign w:val="center"/>
          </w:tcPr>
          <w:p w14:paraId="01D71EAE">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68DDFC82">
            <w:pPr>
              <w:spacing w:line="300" w:lineRule="exact"/>
              <w:rPr>
                <w:rFonts w:ascii="仿宋_GB2312" w:hAnsi="宋体" w:eastAsia="仿宋_GB2312"/>
                <w:sz w:val="24"/>
                <w:szCs w:val="24"/>
              </w:rPr>
            </w:pPr>
          </w:p>
        </w:tc>
        <w:tc>
          <w:tcPr>
            <w:tcW w:w="1134" w:type="dxa"/>
            <w:vMerge w:val="continue"/>
            <w:vAlign w:val="center"/>
          </w:tcPr>
          <w:p w14:paraId="3550C391">
            <w:pPr>
              <w:spacing w:line="300" w:lineRule="exact"/>
              <w:jc w:val="center"/>
              <w:rPr>
                <w:rFonts w:ascii="仿宋_GB2312" w:hAnsi="宋体" w:eastAsia="仿宋_GB2312" w:cs="Times New Roman"/>
                <w:sz w:val="24"/>
                <w:szCs w:val="24"/>
              </w:rPr>
            </w:pPr>
          </w:p>
        </w:tc>
        <w:tc>
          <w:tcPr>
            <w:tcW w:w="3119" w:type="dxa"/>
            <w:vAlign w:val="center"/>
          </w:tcPr>
          <w:p w14:paraId="5B255865">
            <w:pPr>
              <w:spacing w:line="32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3EE7EA2C">
            <w:pPr>
              <w:spacing w:line="320" w:lineRule="exact"/>
              <w:jc w:val="center"/>
              <w:rPr>
                <w:rFonts w:ascii="仿宋_GB2312" w:hAnsi="宋体" w:eastAsia="仿宋_GB2312"/>
                <w:sz w:val="24"/>
                <w:szCs w:val="24"/>
              </w:rPr>
            </w:pPr>
            <w:r>
              <w:rPr>
                <w:rFonts w:hint="eastAsia" w:ascii="仿宋_GB2312" w:hAnsi="宋体" w:eastAsia="仿宋_GB2312"/>
                <w:sz w:val="24"/>
                <w:szCs w:val="24"/>
              </w:rPr>
              <w:t>棠下镇</w:t>
            </w:r>
          </w:p>
          <w:p w14:paraId="75016F61">
            <w:pPr>
              <w:spacing w:line="320" w:lineRule="exact"/>
              <w:jc w:val="center"/>
              <w:rPr>
                <w:rFonts w:ascii="仿宋_GB2312" w:hAnsi="宋体" w:eastAsia="仿宋_GB2312"/>
                <w:sz w:val="24"/>
                <w:szCs w:val="24"/>
              </w:rPr>
            </w:pPr>
            <w:r>
              <w:rPr>
                <w:rFonts w:hint="eastAsia" w:ascii="仿宋_GB2312" w:hAnsi="宋体" w:eastAsia="仿宋_GB2312"/>
                <w:sz w:val="24"/>
                <w:szCs w:val="24"/>
              </w:rPr>
              <w:t>潮连街</w:t>
            </w:r>
          </w:p>
        </w:tc>
        <w:tc>
          <w:tcPr>
            <w:tcW w:w="7187" w:type="dxa"/>
            <w:vMerge w:val="continue"/>
            <w:vAlign w:val="center"/>
          </w:tcPr>
          <w:p w14:paraId="7E6D760F">
            <w:pPr>
              <w:spacing w:line="300" w:lineRule="exact"/>
              <w:ind w:firstLine="480" w:firstLineChars="200"/>
              <w:rPr>
                <w:rFonts w:ascii="仿宋_GB2312" w:hAnsi="黑体" w:eastAsia="仿宋_GB2312" w:cs="Times New Roman"/>
                <w:sz w:val="24"/>
                <w:szCs w:val="24"/>
              </w:rPr>
            </w:pPr>
          </w:p>
        </w:tc>
      </w:tr>
      <w:tr w14:paraId="0BB7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43" w:type="dxa"/>
            <w:vMerge w:val="continue"/>
            <w:vAlign w:val="center"/>
          </w:tcPr>
          <w:p w14:paraId="78FD8189">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65DAA8D3">
            <w:pPr>
              <w:spacing w:line="300" w:lineRule="exact"/>
              <w:rPr>
                <w:rFonts w:ascii="仿宋_GB2312" w:hAnsi="宋体" w:eastAsia="仿宋_GB2312"/>
                <w:sz w:val="24"/>
                <w:szCs w:val="24"/>
              </w:rPr>
            </w:pPr>
          </w:p>
        </w:tc>
        <w:tc>
          <w:tcPr>
            <w:tcW w:w="1134" w:type="dxa"/>
            <w:vMerge w:val="continue"/>
            <w:vAlign w:val="center"/>
          </w:tcPr>
          <w:p w14:paraId="27DF5FE9">
            <w:pPr>
              <w:spacing w:line="300" w:lineRule="exact"/>
              <w:jc w:val="center"/>
              <w:rPr>
                <w:rFonts w:ascii="仿宋_GB2312" w:hAnsi="宋体" w:eastAsia="仿宋_GB2312" w:cs="Times New Roman"/>
                <w:sz w:val="24"/>
                <w:szCs w:val="24"/>
              </w:rPr>
            </w:pPr>
          </w:p>
        </w:tc>
        <w:tc>
          <w:tcPr>
            <w:tcW w:w="3119" w:type="dxa"/>
            <w:vAlign w:val="center"/>
          </w:tcPr>
          <w:p w14:paraId="4FF47582">
            <w:pPr>
              <w:spacing w:line="32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488A3D9A">
            <w:pPr>
              <w:spacing w:line="320" w:lineRule="exact"/>
              <w:jc w:val="center"/>
              <w:rPr>
                <w:rFonts w:ascii="仿宋_GB2312" w:hAnsi="宋体" w:eastAsia="仿宋_GB2312"/>
                <w:sz w:val="24"/>
                <w:szCs w:val="24"/>
              </w:rPr>
            </w:pPr>
            <w:r>
              <w:rPr>
                <w:rFonts w:hint="eastAsia" w:ascii="仿宋_GB2312" w:hAnsi="宋体" w:eastAsia="仿宋_GB2312"/>
                <w:sz w:val="24"/>
                <w:szCs w:val="24"/>
              </w:rPr>
              <w:t>区国有资产监督管理局</w:t>
            </w:r>
          </w:p>
        </w:tc>
        <w:tc>
          <w:tcPr>
            <w:tcW w:w="7187" w:type="dxa"/>
            <w:vMerge w:val="continue"/>
            <w:vAlign w:val="center"/>
          </w:tcPr>
          <w:p w14:paraId="51A93E29">
            <w:pPr>
              <w:spacing w:line="300" w:lineRule="exact"/>
              <w:ind w:firstLine="480" w:firstLineChars="200"/>
              <w:rPr>
                <w:rFonts w:ascii="仿宋_GB2312" w:hAnsi="黑体" w:eastAsia="仿宋_GB2312" w:cs="Times New Roman"/>
                <w:sz w:val="24"/>
                <w:szCs w:val="24"/>
              </w:rPr>
            </w:pPr>
          </w:p>
        </w:tc>
      </w:tr>
      <w:tr w14:paraId="419D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543" w:type="dxa"/>
            <w:vAlign w:val="center"/>
          </w:tcPr>
          <w:p w14:paraId="067946D7">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761B750D">
            <w:pPr>
              <w:spacing w:line="300" w:lineRule="exact"/>
              <w:rPr>
                <w:rFonts w:ascii="仿宋_GB2312" w:hAnsi="宋体" w:eastAsia="仿宋_GB2312"/>
                <w:sz w:val="24"/>
                <w:szCs w:val="24"/>
              </w:rPr>
            </w:pPr>
            <w:r>
              <w:rPr>
                <w:rFonts w:hint="eastAsia" w:ascii="仿宋_GB2312" w:hAnsi="宋体" w:eastAsia="仿宋_GB2312"/>
                <w:sz w:val="24"/>
                <w:szCs w:val="24"/>
              </w:rPr>
              <w:t>不断加强区政府党组建设，发挥各级政府党组织的引领作用，严格落实“三重一大”事项集体决策制度。</w:t>
            </w:r>
            <w:r>
              <w:rPr>
                <w:rFonts w:hint="eastAsia" w:ascii="仿宋_GB2312" w:hAnsi="宋体" w:eastAsia="仿宋_GB2312"/>
                <w:b/>
                <w:sz w:val="24"/>
                <w:szCs w:val="24"/>
              </w:rPr>
              <w:t>（牵头单位：区委组织部）</w:t>
            </w:r>
          </w:p>
        </w:tc>
        <w:tc>
          <w:tcPr>
            <w:tcW w:w="1134" w:type="dxa"/>
            <w:vAlign w:val="center"/>
          </w:tcPr>
          <w:p w14:paraId="368FEB30">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7AA5E9D1">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7C6D6355">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w:t>
            </w:r>
          </w:p>
        </w:tc>
        <w:tc>
          <w:tcPr>
            <w:tcW w:w="7187" w:type="dxa"/>
            <w:vAlign w:val="center"/>
          </w:tcPr>
          <w:p w14:paraId="72994AF7">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2A6D2DE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已根据中央、省、市和区委深化机构改革工作部署要求，同步在机构改革单位中调整党组设置，加强区直部门党组建设，严格落实“三重一大”事项集体决策制度。</w:t>
            </w:r>
          </w:p>
        </w:tc>
      </w:tr>
      <w:tr w14:paraId="4C6E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jc w:val="center"/>
        </w:trPr>
        <w:tc>
          <w:tcPr>
            <w:tcW w:w="543" w:type="dxa"/>
            <w:vAlign w:val="center"/>
          </w:tcPr>
          <w:p w14:paraId="3AAB6EE5">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9FFB40A">
            <w:pPr>
              <w:spacing w:line="300" w:lineRule="exact"/>
              <w:rPr>
                <w:rFonts w:ascii="仿宋_GB2312" w:hAnsi="宋体" w:eastAsia="仿宋_GB2312"/>
                <w:sz w:val="24"/>
                <w:szCs w:val="24"/>
              </w:rPr>
            </w:pPr>
            <w:r>
              <w:rPr>
                <w:rFonts w:hint="eastAsia" w:ascii="仿宋_GB2312" w:hAnsi="宋体" w:eastAsia="仿宋_GB2312"/>
                <w:sz w:val="24"/>
                <w:szCs w:val="24"/>
              </w:rPr>
              <w:t>加强干部教育和培养，按照“信念坚定、为民服务、勤政务实、敢于担当、清正廉洁”的好干部标准，培养重用“三硬一好”的干部。</w:t>
            </w:r>
            <w:r>
              <w:rPr>
                <w:rFonts w:hint="eastAsia" w:ascii="仿宋_GB2312" w:hAnsi="宋体" w:eastAsia="仿宋_GB2312"/>
                <w:b/>
                <w:sz w:val="24"/>
                <w:szCs w:val="24"/>
              </w:rPr>
              <w:t>（牵头单位：区委组织部）</w:t>
            </w:r>
          </w:p>
        </w:tc>
        <w:tc>
          <w:tcPr>
            <w:tcW w:w="1134" w:type="dxa"/>
            <w:vAlign w:val="center"/>
          </w:tcPr>
          <w:p w14:paraId="53016A9B">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2EE09881">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区委组织部</w:t>
            </w:r>
          </w:p>
          <w:p w14:paraId="31274B51">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区直各单位党委（党组）</w:t>
            </w:r>
          </w:p>
          <w:p w14:paraId="62A952AE">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各镇（街）党（工）委</w:t>
            </w:r>
          </w:p>
        </w:tc>
        <w:tc>
          <w:tcPr>
            <w:tcW w:w="7187" w:type="dxa"/>
            <w:vAlign w:val="center"/>
          </w:tcPr>
          <w:p w14:paraId="29FA86AE">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40519ED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截至3月底，全区共提拔调整区管科级干部152人，其中提拔重用24人，交流调整128人。新组建党政部门领导班子已全部到位，进一步整合优化全区的“人财物”资源和优势，优化党的组织机构，实现党的领导更加坚强有力。全区党政机构领导班子的年龄结构得到进一步优化，21个区政府工作部门正职的平均年龄由机构改革前的47.2岁下降到改革后的45岁。</w:t>
            </w:r>
          </w:p>
        </w:tc>
      </w:tr>
      <w:tr w14:paraId="6AFB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43" w:type="dxa"/>
            <w:vMerge w:val="restart"/>
            <w:vAlign w:val="center"/>
          </w:tcPr>
          <w:p w14:paraId="50F3AAB5">
            <w:pPr>
              <w:numPr>
                <w:ilvl w:val="0"/>
                <w:numId w:val="2"/>
              </w:numPr>
              <w:spacing w:line="300" w:lineRule="exact"/>
              <w:jc w:val="center"/>
              <w:rPr>
                <w:rFonts w:ascii="仿宋_GB2312" w:hAnsi="黑体" w:eastAsia="仿宋_GB2312" w:cs="仿宋_GB2312"/>
                <w:sz w:val="24"/>
                <w:szCs w:val="24"/>
              </w:rPr>
            </w:pPr>
          </w:p>
        </w:tc>
        <w:tc>
          <w:tcPr>
            <w:tcW w:w="3415" w:type="dxa"/>
            <w:gridSpan w:val="3"/>
            <w:vMerge w:val="restart"/>
            <w:vAlign w:val="center"/>
          </w:tcPr>
          <w:p w14:paraId="76F251DF">
            <w:pPr>
              <w:spacing w:line="300" w:lineRule="exact"/>
              <w:rPr>
                <w:rFonts w:ascii="仿宋_GB2312" w:hAnsi="宋体" w:eastAsia="仿宋_GB2312"/>
                <w:sz w:val="24"/>
                <w:szCs w:val="24"/>
              </w:rPr>
            </w:pPr>
            <w:r>
              <w:rPr>
                <w:rFonts w:hint="eastAsia" w:ascii="仿宋_GB2312" w:hAnsi="宋体" w:eastAsia="仿宋_GB2312"/>
                <w:sz w:val="24"/>
                <w:szCs w:val="24"/>
              </w:rPr>
              <w:t>持续加强和改进政府系统意识形态工作。强化网络舆情导控手段，及时化解网上突发舆情和有害信息，严把意识形态安全关口，确保全区意识形态安全。</w:t>
            </w:r>
            <w:r>
              <w:rPr>
                <w:rFonts w:hint="eastAsia" w:ascii="仿宋_GB2312" w:hAnsi="宋体" w:eastAsia="仿宋_GB2312"/>
                <w:b/>
                <w:sz w:val="24"/>
                <w:szCs w:val="24"/>
              </w:rPr>
              <w:t>（牵头单位：区委宣传部）</w:t>
            </w:r>
          </w:p>
        </w:tc>
        <w:tc>
          <w:tcPr>
            <w:tcW w:w="1134" w:type="dxa"/>
            <w:vMerge w:val="restart"/>
            <w:vAlign w:val="center"/>
          </w:tcPr>
          <w:p w14:paraId="372BAB62">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  莲</w:t>
            </w:r>
          </w:p>
        </w:tc>
        <w:tc>
          <w:tcPr>
            <w:tcW w:w="3119" w:type="dxa"/>
            <w:vMerge w:val="restart"/>
            <w:vAlign w:val="center"/>
          </w:tcPr>
          <w:p w14:paraId="7011CBD6">
            <w:pPr>
              <w:spacing w:line="300" w:lineRule="exact"/>
              <w:jc w:val="center"/>
              <w:rPr>
                <w:rFonts w:ascii="仿宋_GB2312" w:hAnsi="宋体" w:eastAsia="仿宋_GB2312"/>
                <w:sz w:val="24"/>
                <w:szCs w:val="24"/>
              </w:rPr>
            </w:pPr>
            <w:r>
              <w:rPr>
                <w:rFonts w:hint="eastAsia" w:ascii="仿宋_GB2312" w:hAnsi="宋体" w:eastAsia="仿宋_GB2312"/>
                <w:sz w:val="24"/>
                <w:szCs w:val="24"/>
              </w:rPr>
              <w:t>区委宣传部</w:t>
            </w:r>
          </w:p>
          <w:p w14:paraId="62BED3ED">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区直各单位党委（党组）</w:t>
            </w:r>
          </w:p>
          <w:p w14:paraId="0AE72748">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各镇（街）党（工）委</w:t>
            </w:r>
          </w:p>
        </w:tc>
        <w:tc>
          <w:tcPr>
            <w:tcW w:w="7187" w:type="dxa"/>
            <w:vMerge w:val="restart"/>
            <w:vAlign w:val="center"/>
          </w:tcPr>
          <w:p w14:paraId="2D1EAABF">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0D80AF9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成立区委网络安全和信息化委员会，并印发《关于开展网络生态治理专项行动的通知》等工作方案，部署开展网络安全专项整治工作，通过召开区委中心组（扩大）意识形态工作专题学习会，加强党员干部意识形态安全学习。</w:t>
            </w:r>
            <w:r>
              <w:rPr>
                <w:rFonts w:hint="eastAsia" w:ascii="仿宋_GB2312" w:hAnsi="黑体" w:eastAsia="仿宋_GB2312" w:cs="Times New Roman"/>
                <w:sz w:val="24"/>
                <w:szCs w:val="24"/>
              </w:rPr>
              <w:tab/>
            </w:r>
          </w:p>
        </w:tc>
      </w:tr>
      <w:tr w14:paraId="71C8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3" w:type="dxa"/>
            <w:vMerge w:val="continue"/>
            <w:vAlign w:val="center"/>
          </w:tcPr>
          <w:p w14:paraId="4267EA99">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54F6412E">
            <w:pPr>
              <w:spacing w:line="300" w:lineRule="exact"/>
              <w:rPr>
                <w:rFonts w:ascii="仿宋_GB2312" w:hAnsi="宋体" w:eastAsia="仿宋_GB2312"/>
                <w:sz w:val="24"/>
                <w:szCs w:val="24"/>
              </w:rPr>
            </w:pPr>
          </w:p>
        </w:tc>
        <w:tc>
          <w:tcPr>
            <w:tcW w:w="1134" w:type="dxa"/>
            <w:vMerge w:val="continue"/>
            <w:vAlign w:val="center"/>
          </w:tcPr>
          <w:p w14:paraId="124BD7DE">
            <w:pPr>
              <w:spacing w:line="300" w:lineRule="exact"/>
              <w:jc w:val="center"/>
              <w:rPr>
                <w:rFonts w:ascii="仿宋_GB2312" w:hAnsi="宋体" w:eastAsia="仿宋_GB2312" w:cs="Times New Roman"/>
                <w:sz w:val="24"/>
                <w:szCs w:val="24"/>
              </w:rPr>
            </w:pPr>
          </w:p>
        </w:tc>
        <w:tc>
          <w:tcPr>
            <w:tcW w:w="3119" w:type="dxa"/>
            <w:vMerge w:val="continue"/>
            <w:vAlign w:val="center"/>
          </w:tcPr>
          <w:p w14:paraId="0EECC336">
            <w:pPr>
              <w:spacing w:line="300" w:lineRule="exact"/>
              <w:jc w:val="center"/>
              <w:rPr>
                <w:rFonts w:ascii="仿宋_GB2312" w:hAnsi="宋体" w:eastAsia="仿宋_GB2312"/>
                <w:sz w:val="24"/>
                <w:szCs w:val="24"/>
              </w:rPr>
            </w:pPr>
          </w:p>
        </w:tc>
        <w:tc>
          <w:tcPr>
            <w:tcW w:w="7187" w:type="dxa"/>
            <w:vMerge w:val="continue"/>
            <w:vAlign w:val="center"/>
          </w:tcPr>
          <w:p w14:paraId="681167B2">
            <w:pPr>
              <w:spacing w:line="300" w:lineRule="exact"/>
              <w:ind w:firstLine="480" w:firstLineChars="200"/>
              <w:rPr>
                <w:rFonts w:ascii="仿宋_GB2312" w:hAnsi="黑体" w:eastAsia="仿宋_GB2312" w:cs="Times New Roman"/>
                <w:sz w:val="24"/>
                <w:szCs w:val="24"/>
              </w:rPr>
            </w:pPr>
          </w:p>
        </w:tc>
      </w:tr>
      <w:tr w14:paraId="01C8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43" w:type="dxa"/>
            <w:vMerge w:val="continue"/>
            <w:vAlign w:val="center"/>
          </w:tcPr>
          <w:p w14:paraId="4F0961AF">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7D731E3B">
            <w:pPr>
              <w:spacing w:line="300" w:lineRule="exact"/>
              <w:rPr>
                <w:rFonts w:ascii="仿宋_GB2312" w:hAnsi="宋体" w:eastAsia="仿宋_GB2312"/>
                <w:sz w:val="24"/>
                <w:szCs w:val="24"/>
              </w:rPr>
            </w:pPr>
          </w:p>
        </w:tc>
        <w:tc>
          <w:tcPr>
            <w:tcW w:w="1134" w:type="dxa"/>
            <w:vMerge w:val="continue"/>
            <w:vAlign w:val="center"/>
          </w:tcPr>
          <w:p w14:paraId="561423FA">
            <w:pPr>
              <w:spacing w:line="300" w:lineRule="exact"/>
              <w:jc w:val="center"/>
              <w:rPr>
                <w:rFonts w:ascii="仿宋_GB2312" w:hAnsi="宋体" w:eastAsia="仿宋_GB2312" w:cs="Times New Roman"/>
                <w:sz w:val="24"/>
                <w:szCs w:val="24"/>
              </w:rPr>
            </w:pPr>
          </w:p>
        </w:tc>
        <w:tc>
          <w:tcPr>
            <w:tcW w:w="3119" w:type="dxa"/>
            <w:vMerge w:val="continue"/>
            <w:vAlign w:val="center"/>
          </w:tcPr>
          <w:p w14:paraId="6DD113E6">
            <w:pPr>
              <w:spacing w:line="300" w:lineRule="exact"/>
              <w:jc w:val="center"/>
              <w:rPr>
                <w:rFonts w:ascii="仿宋_GB2312" w:hAnsi="宋体" w:eastAsia="仿宋_GB2312"/>
                <w:sz w:val="24"/>
                <w:szCs w:val="24"/>
              </w:rPr>
            </w:pPr>
          </w:p>
        </w:tc>
        <w:tc>
          <w:tcPr>
            <w:tcW w:w="7187" w:type="dxa"/>
            <w:vMerge w:val="continue"/>
            <w:vAlign w:val="center"/>
          </w:tcPr>
          <w:p w14:paraId="2C4BCCDC">
            <w:pPr>
              <w:spacing w:line="300" w:lineRule="exact"/>
              <w:ind w:firstLine="480" w:firstLineChars="200"/>
              <w:rPr>
                <w:rFonts w:ascii="仿宋_GB2312" w:hAnsi="黑体" w:eastAsia="仿宋_GB2312" w:cs="Times New Roman"/>
                <w:sz w:val="24"/>
                <w:szCs w:val="24"/>
              </w:rPr>
            </w:pPr>
          </w:p>
        </w:tc>
      </w:tr>
      <w:tr w14:paraId="52D5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543" w:type="dxa"/>
            <w:vMerge w:val="continue"/>
            <w:vAlign w:val="center"/>
          </w:tcPr>
          <w:p w14:paraId="29EB002A">
            <w:pPr>
              <w:numPr>
                <w:ilvl w:val="0"/>
                <w:numId w:val="2"/>
              </w:numPr>
              <w:spacing w:line="300" w:lineRule="exact"/>
              <w:jc w:val="center"/>
              <w:rPr>
                <w:rFonts w:ascii="仿宋_GB2312" w:hAnsi="黑体" w:eastAsia="仿宋_GB2312" w:cs="仿宋_GB2312"/>
                <w:sz w:val="24"/>
                <w:szCs w:val="24"/>
              </w:rPr>
            </w:pPr>
          </w:p>
        </w:tc>
        <w:tc>
          <w:tcPr>
            <w:tcW w:w="3415" w:type="dxa"/>
            <w:gridSpan w:val="3"/>
            <w:vMerge w:val="continue"/>
            <w:vAlign w:val="center"/>
          </w:tcPr>
          <w:p w14:paraId="1A88F9A8">
            <w:pPr>
              <w:spacing w:line="300" w:lineRule="exact"/>
              <w:rPr>
                <w:rFonts w:ascii="仿宋_GB2312" w:hAnsi="宋体" w:eastAsia="仿宋_GB2312"/>
                <w:sz w:val="24"/>
                <w:szCs w:val="24"/>
              </w:rPr>
            </w:pPr>
          </w:p>
        </w:tc>
        <w:tc>
          <w:tcPr>
            <w:tcW w:w="1134" w:type="dxa"/>
            <w:vMerge w:val="continue"/>
            <w:vAlign w:val="center"/>
          </w:tcPr>
          <w:p w14:paraId="33D33BFB">
            <w:pPr>
              <w:spacing w:line="300" w:lineRule="exact"/>
              <w:jc w:val="center"/>
              <w:rPr>
                <w:rFonts w:ascii="仿宋_GB2312" w:hAnsi="宋体" w:eastAsia="仿宋_GB2312" w:cs="Times New Roman"/>
                <w:sz w:val="24"/>
                <w:szCs w:val="24"/>
              </w:rPr>
            </w:pPr>
          </w:p>
        </w:tc>
        <w:tc>
          <w:tcPr>
            <w:tcW w:w="3119" w:type="dxa"/>
            <w:vMerge w:val="continue"/>
            <w:vAlign w:val="center"/>
          </w:tcPr>
          <w:p w14:paraId="6C269F9F">
            <w:pPr>
              <w:spacing w:line="300" w:lineRule="exact"/>
              <w:jc w:val="center"/>
              <w:rPr>
                <w:rFonts w:ascii="仿宋_GB2312" w:hAnsi="宋体" w:eastAsia="仿宋_GB2312"/>
                <w:sz w:val="24"/>
                <w:szCs w:val="24"/>
              </w:rPr>
            </w:pPr>
          </w:p>
        </w:tc>
        <w:tc>
          <w:tcPr>
            <w:tcW w:w="7187" w:type="dxa"/>
            <w:vMerge w:val="continue"/>
            <w:vAlign w:val="center"/>
          </w:tcPr>
          <w:p w14:paraId="7E7A7A12">
            <w:pPr>
              <w:spacing w:line="300" w:lineRule="exact"/>
              <w:ind w:firstLine="480" w:firstLineChars="200"/>
              <w:rPr>
                <w:rFonts w:ascii="仿宋_GB2312" w:hAnsi="黑体" w:eastAsia="仿宋_GB2312" w:cs="Times New Roman"/>
                <w:sz w:val="24"/>
                <w:szCs w:val="24"/>
              </w:rPr>
            </w:pPr>
          </w:p>
        </w:tc>
      </w:tr>
      <w:tr w14:paraId="10EF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atLeast"/>
          <w:jc w:val="center"/>
        </w:trPr>
        <w:tc>
          <w:tcPr>
            <w:tcW w:w="543" w:type="dxa"/>
            <w:vAlign w:val="center"/>
          </w:tcPr>
          <w:p w14:paraId="36A4FF9E">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0306ED8">
            <w:pPr>
              <w:spacing w:line="300" w:lineRule="exact"/>
              <w:rPr>
                <w:rFonts w:ascii="仿宋_GB2312" w:hAnsi="宋体" w:eastAsia="仿宋_GB2312"/>
                <w:sz w:val="24"/>
                <w:szCs w:val="24"/>
              </w:rPr>
            </w:pPr>
            <w:r>
              <w:rPr>
                <w:rFonts w:hint="eastAsia" w:ascii="仿宋_GB2312" w:hAnsi="宋体" w:eastAsia="仿宋_GB2312"/>
                <w:sz w:val="24"/>
                <w:szCs w:val="24"/>
              </w:rPr>
              <w:t>不断巩固落实中央八项规定精神，深入查找和纠正“四风”突出问题特别是形式主义、官僚主义的新表现。</w:t>
            </w:r>
            <w:r>
              <w:rPr>
                <w:rFonts w:hint="eastAsia" w:ascii="仿宋_GB2312" w:hAnsi="宋体" w:eastAsia="仿宋_GB2312"/>
                <w:b/>
                <w:sz w:val="24"/>
                <w:szCs w:val="24"/>
              </w:rPr>
              <w:t>（牵头单位：区纪委监委）</w:t>
            </w:r>
          </w:p>
        </w:tc>
        <w:tc>
          <w:tcPr>
            <w:tcW w:w="1134" w:type="dxa"/>
            <w:vAlign w:val="center"/>
          </w:tcPr>
          <w:p w14:paraId="7B2A279B">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邹  强</w:t>
            </w:r>
          </w:p>
        </w:tc>
        <w:tc>
          <w:tcPr>
            <w:tcW w:w="3119" w:type="dxa"/>
            <w:vAlign w:val="center"/>
          </w:tcPr>
          <w:p w14:paraId="46430D57">
            <w:pPr>
              <w:spacing w:line="300" w:lineRule="exact"/>
              <w:jc w:val="center"/>
              <w:rPr>
                <w:rFonts w:ascii="仿宋_GB2312" w:hAnsi="宋体" w:eastAsia="仿宋_GB2312"/>
                <w:sz w:val="24"/>
                <w:szCs w:val="24"/>
              </w:rPr>
            </w:pPr>
            <w:r>
              <w:rPr>
                <w:rFonts w:hint="eastAsia" w:ascii="仿宋_GB2312" w:hAnsi="宋体" w:eastAsia="仿宋_GB2312"/>
                <w:sz w:val="24"/>
                <w:szCs w:val="24"/>
              </w:rPr>
              <w:t>区纪委监委</w:t>
            </w:r>
          </w:p>
          <w:p w14:paraId="5BEE85DD">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区直各单位党委（党组）</w:t>
            </w:r>
          </w:p>
          <w:p w14:paraId="24ACA91F">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各镇（街）党（工）委</w:t>
            </w:r>
          </w:p>
        </w:tc>
        <w:tc>
          <w:tcPr>
            <w:tcW w:w="7187" w:type="dxa"/>
            <w:vAlign w:val="center"/>
          </w:tcPr>
          <w:p w14:paraId="5B9C0CED">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3428526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对全区各级党组织开展“两个责任”检查，压实党委（党组）的主体责任；迅速转发市纪委监委《关于做好元旦春节期间纠正“四风”工作的通知》，要求各单位把贯彻落实中央八项规定精神、纠正“四风”问题作为一项重要政治任务，狠抓落实；加大节日期间的宣传力度，利用“蓬江清风”微信公众号、“蓬江纪检监察网”网站等平台，迅速把各级党委、纪委的通知要求以及有关违反中央八项规定精神典型问题的通报及时传达到各级党组织和广大党员干部。发送廉政短信提醒30000多条；开展明查暗访，在今年元旦春节期间对区内各镇街的工作场所和办事窗口均进行明查暗访，共派出50多人次，暗访场所30多个；对棠下镇原班子成员不认真落实中央八项规定精神，违反廉洁纪律，违规领取补贴、奖金、礼品的违纪案进行审理，并及时向各所在党组织通报该违纪问题，督促检查纪律处分执行情况，确保执行情况落实到位。</w:t>
            </w:r>
          </w:p>
          <w:p w14:paraId="6663370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w:t>
            </w:r>
            <w:r>
              <w:rPr>
                <w:rFonts w:hint="eastAsia"/>
              </w:rPr>
              <w:t xml:space="preserve"> </w:t>
            </w:r>
            <w:r>
              <w:rPr>
                <w:rFonts w:hint="eastAsia" w:ascii="仿宋_GB2312" w:hAnsi="黑体" w:eastAsia="仿宋_GB2312" w:cs="Times New Roman"/>
                <w:sz w:val="24"/>
                <w:szCs w:val="24"/>
              </w:rPr>
              <w:t>开展党组织“一把手”述责述廉工作，要求各党组织“一把手”执行政治纪律和政治规矩、履行管党治党责任、推进党风廉政建设和反腐败工作、加强廉洁自律等情况进行详细报告，坚决整治领导干部插手特殊资源，决不让“四风”问题反弹回潮。</w:t>
            </w:r>
          </w:p>
          <w:p w14:paraId="348D701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区纪委按照市纪委的统一部署，成立责任生态环保问题追究工作组和核查小组，对蓬江区污水处理和黑臭水体治理PPP项目全面停工的问题进行查办和责任追究工作；对中和猪场、五洞猪场违法违规行为监管形式主义、官僚主义问题启动问责程序，对5个责任党组织和20名责任人作出问责决定，并予以全区通报。</w:t>
            </w:r>
          </w:p>
        </w:tc>
      </w:tr>
      <w:tr w14:paraId="168F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atLeast"/>
          <w:jc w:val="center"/>
        </w:trPr>
        <w:tc>
          <w:tcPr>
            <w:tcW w:w="543" w:type="dxa"/>
            <w:vAlign w:val="center"/>
          </w:tcPr>
          <w:p w14:paraId="6CAE2B91">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1D3A26EC">
            <w:pPr>
              <w:spacing w:line="300" w:lineRule="exact"/>
              <w:rPr>
                <w:rFonts w:ascii="仿宋_GB2312" w:hAnsi="宋体" w:eastAsia="仿宋_GB2312"/>
                <w:sz w:val="24"/>
                <w:szCs w:val="24"/>
              </w:rPr>
            </w:pPr>
            <w:r>
              <w:rPr>
                <w:rFonts w:hint="eastAsia" w:ascii="仿宋_GB2312" w:hAnsi="宋体" w:eastAsia="仿宋_GB2312"/>
                <w:sz w:val="24"/>
                <w:szCs w:val="24"/>
              </w:rPr>
              <w:t>严格实施区基层正风反腐三年行动方案，落实各级党委政府、各部门党风廉政建设责任制。</w:t>
            </w:r>
            <w:r>
              <w:rPr>
                <w:rFonts w:hint="eastAsia" w:ascii="仿宋_GB2312" w:hAnsi="宋体" w:eastAsia="仿宋_GB2312"/>
                <w:b/>
                <w:sz w:val="24"/>
                <w:szCs w:val="24"/>
              </w:rPr>
              <w:t>（牵头单位：区纪委监委）</w:t>
            </w:r>
          </w:p>
        </w:tc>
        <w:tc>
          <w:tcPr>
            <w:tcW w:w="1134" w:type="dxa"/>
            <w:vAlign w:val="center"/>
          </w:tcPr>
          <w:p w14:paraId="7B44D90C">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邹  强</w:t>
            </w:r>
          </w:p>
        </w:tc>
        <w:tc>
          <w:tcPr>
            <w:tcW w:w="3119" w:type="dxa"/>
            <w:vAlign w:val="center"/>
          </w:tcPr>
          <w:p w14:paraId="140E50D5">
            <w:pPr>
              <w:spacing w:line="300" w:lineRule="exact"/>
              <w:jc w:val="center"/>
              <w:rPr>
                <w:rFonts w:ascii="仿宋_GB2312" w:hAnsi="宋体" w:eastAsia="仿宋_GB2312"/>
                <w:sz w:val="24"/>
                <w:szCs w:val="24"/>
              </w:rPr>
            </w:pPr>
            <w:r>
              <w:rPr>
                <w:rFonts w:hint="eastAsia" w:ascii="仿宋_GB2312" w:hAnsi="宋体" w:eastAsia="仿宋_GB2312"/>
                <w:sz w:val="24"/>
                <w:szCs w:val="24"/>
              </w:rPr>
              <w:t>区纪委监委</w:t>
            </w:r>
          </w:p>
          <w:p w14:paraId="248C721F">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各镇（街）党（工）委</w:t>
            </w:r>
          </w:p>
        </w:tc>
        <w:tc>
          <w:tcPr>
            <w:tcW w:w="7187" w:type="dxa"/>
            <w:vAlign w:val="center"/>
          </w:tcPr>
          <w:p w14:paraId="104F15AC">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6247907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w:t>
            </w:r>
            <w:r>
              <w:rPr>
                <w:rFonts w:hint="eastAsia"/>
              </w:rPr>
              <w:t xml:space="preserve"> </w:t>
            </w:r>
            <w:r>
              <w:rPr>
                <w:rFonts w:hint="eastAsia" w:ascii="仿宋_GB2312" w:hAnsi="黑体" w:eastAsia="仿宋_GB2312" w:cs="Times New Roman"/>
                <w:sz w:val="24"/>
                <w:szCs w:val="24"/>
              </w:rPr>
              <w:t>结合贯彻落实省委《广东省基层正风反腐三年行动方案（2018—2020年）》，制定印发《蓬江区开展扫黑除恶同反腐败斗争和基层“拍蝇”相结合专项工作实施方案》，以问题为导向，围绕扶贫领域、涉黑涉恶腐败易发多发的重点部门、重点环节、重要岗位，督促相关部门认真梳理查找廉政风险点，细化职责权限，规范权力运行，建立健全执纪问责长效机制。形成持续高压震慑态势，坚决惩治基层腐败和侵害群众利益的不正之风问题。今年以来，共摸排发现扶贫领域违纪违法问题线索4条。</w:t>
            </w:r>
          </w:p>
          <w:p w14:paraId="590BABB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w:t>
            </w:r>
            <w:r>
              <w:rPr>
                <w:rFonts w:hint="eastAsia"/>
              </w:rPr>
              <w:t xml:space="preserve"> </w:t>
            </w:r>
            <w:r>
              <w:rPr>
                <w:rFonts w:hint="eastAsia" w:ascii="仿宋_GB2312" w:hAnsi="黑体" w:eastAsia="仿宋_GB2312" w:cs="Times New Roman"/>
                <w:sz w:val="24"/>
                <w:szCs w:val="24"/>
              </w:rPr>
              <w:t>落实协同办案机制,助推打“伞”打“财”。加强和公安机关在扫黑除恶专项斗争中协作配合，深挖黑恶势力“保护伞”，全面追回涉黑涉恶人员的非法利益。今年以来，区纪委监委新增涉黑涉恶腐败和“保护伞”问题线索6条，立案6宗6人，办结3宗，3人均已移送司法机关，2019年区纪委监委打财合计人民币450多万元。</w:t>
            </w:r>
          </w:p>
          <w:p w14:paraId="7C9ADFB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 3月下旬，由区党廉办副主任在区政府党组会上对各镇（街）、区直各单位全面落实党风廉政建设“两个责任”的检查作专题汇报，指出检查中发现各单位开展警示教育不全面、不到位的问题，提出今后工作建议，推动以案治本工作，增强警示实效；加强典型案例的剖析和通报。对江门市公安局蓬江分局原党委委员（正科级）、副局长顾启钊充当涉恶“保护伞”案件深入剖析，报送到市纪委监委，录入《廉政警示教育读本（2019）》，结合今年纪律教育纪律教育学习月活动开展警示教育，营造浩大的声势，使群众积极参与。</w:t>
            </w:r>
          </w:p>
        </w:tc>
      </w:tr>
      <w:tr w14:paraId="77C9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5" w:hRule="atLeast"/>
          <w:jc w:val="center"/>
        </w:trPr>
        <w:tc>
          <w:tcPr>
            <w:tcW w:w="543" w:type="dxa"/>
            <w:vAlign w:val="center"/>
          </w:tcPr>
          <w:p w14:paraId="603EC349">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4EE1D570">
            <w:pPr>
              <w:spacing w:line="300" w:lineRule="exact"/>
              <w:rPr>
                <w:rFonts w:ascii="仿宋_GB2312" w:hAnsi="宋体" w:eastAsia="仿宋_GB2312"/>
                <w:sz w:val="24"/>
                <w:szCs w:val="24"/>
              </w:rPr>
            </w:pPr>
            <w:r>
              <w:rPr>
                <w:rFonts w:hint="eastAsia" w:ascii="仿宋_GB2312" w:hAnsi="宋体" w:eastAsia="仿宋_GB2312"/>
                <w:sz w:val="24"/>
                <w:szCs w:val="24"/>
              </w:rPr>
              <w:t>加大巡察整改力度，抓好巡察整改“回头看”，实施村（社区）、经联社巡察，推动实现党委一届任期内村（社区）党组织巡察全覆盖。</w:t>
            </w:r>
            <w:r>
              <w:rPr>
                <w:rFonts w:hint="eastAsia" w:ascii="仿宋_GB2312" w:hAnsi="宋体" w:eastAsia="仿宋_GB2312"/>
                <w:b/>
                <w:sz w:val="24"/>
                <w:szCs w:val="24"/>
              </w:rPr>
              <w:t>（牵头单位：区纪委监委）</w:t>
            </w:r>
          </w:p>
        </w:tc>
        <w:tc>
          <w:tcPr>
            <w:tcW w:w="1134" w:type="dxa"/>
            <w:vAlign w:val="center"/>
          </w:tcPr>
          <w:p w14:paraId="59103592">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邹  强</w:t>
            </w:r>
          </w:p>
        </w:tc>
        <w:tc>
          <w:tcPr>
            <w:tcW w:w="3119" w:type="dxa"/>
            <w:vAlign w:val="center"/>
          </w:tcPr>
          <w:p w14:paraId="5D91BAAE">
            <w:pPr>
              <w:spacing w:line="300" w:lineRule="exact"/>
              <w:jc w:val="center"/>
              <w:rPr>
                <w:rFonts w:ascii="仿宋_GB2312" w:hAnsi="宋体" w:eastAsia="仿宋_GB2312"/>
                <w:sz w:val="24"/>
                <w:szCs w:val="24"/>
              </w:rPr>
            </w:pPr>
            <w:r>
              <w:rPr>
                <w:rFonts w:hint="eastAsia" w:ascii="仿宋_GB2312" w:hAnsi="宋体" w:eastAsia="仿宋_GB2312"/>
                <w:sz w:val="24"/>
                <w:szCs w:val="24"/>
              </w:rPr>
              <w:t>区纪委监委</w:t>
            </w:r>
          </w:p>
          <w:p w14:paraId="063624FE">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区直各单位党委（党组）</w:t>
            </w:r>
          </w:p>
          <w:p w14:paraId="1E4A6653">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各镇（街）党（工）委</w:t>
            </w:r>
          </w:p>
        </w:tc>
        <w:tc>
          <w:tcPr>
            <w:tcW w:w="7187" w:type="dxa"/>
            <w:vAlign w:val="center"/>
          </w:tcPr>
          <w:p w14:paraId="7DF5D10D">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099234D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1.3月4日和3月14日，区委书记伍培进连续2次主持召开书记专题会议，分别听取九届区委第三轮和第四轮巡察情况汇报，听取九届区委第三轮巡察反馈意见整改落实情况的综合报告；听取荷塘镇党委、环市街党工委落实市委第一巡察组反馈意见整改情况的综合报告；根据第四轮巡察发现的问题线索，巡察办在会后马上将巡察发现的线索移交区纪委监委案管室。同时，区巡察工作领导小组成员分别带队参加巡察反馈会议，及时向第四轮被巡察党组织及主要负责人分别反馈巡察情况。</w:t>
            </w:r>
          </w:p>
          <w:p w14:paraId="7E9F7FF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w:t>
            </w:r>
            <w:r>
              <w:rPr>
                <w:rFonts w:hint="eastAsia"/>
              </w:rPr>
              <w:t xml:space="preserve"> </w:t>
            </w:r>
            <w:r>
              <w:rPr>
                <w:rFonts w:hint="eastAsia" w:ascii="仿宋_GB2312" w:hAnsi="黑体" w:eastAsia="仿宋_GB2312" w:cs="Times New Roman"/>
                <w:sz w:val="24"/>
                <w:szCs w:val="24"/>
              </w:rPr>
              <w:t>3月15日至5月下旬，按照区委巡察工作的统一部署，共派出六个巡察组，采取“一托二”的方式，开展第五轮巡察工作。其中:对杜阮镇、区发改局、区教育局、区民政局、区司法局、区农业农村和水利局、区审计局、江门市棠下中学等8个党组织开展常规巡察；对棠下镇的虎岭村、沙富村，荷塘镇的吕步村、六坊村等4个村级党组织开展村级巡察工作。</w:t>
            </w:r>
          </w:p>
          <w:p w14:paraId="52FDF5B2">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w:t>
            </w:r>
            <w:r>
              <w:rPr>
                <w:rFonts w:hint="eastAsia"/>
              </w:rPr>
              <w:t xml:space="preserve"> </w:t>
            </w:r>
            <w:r>
              <w:rPr>
                <w:rFonts w:hint="eastAsia" w:ascii="仿宋_GB2312" w:hAnsi="黑体" w:eastAsia="仿宋_GB2312" w:cs="Times New Roman"/>
                <w:sz w:val="24"/>
                <w:szCs w:val="24"/>
              </w:rPr>
              <w:t>3月15日至5月下旬，开展九届区委第五轮巡察工作。其中:派出两个巡察组对棠下镇的虎岭村、沙富村，荷塘镇的吕步村、六坊村等4个村级党组织开展村级巡察工作。</w:t>
            </w:r>
          </w:p>
        </w:tc>
      </w:tr>
      <w:tr w14:paraId="3CDA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atLeast"/>
          <w:jc w:val="center"/>
        </w:trPr>
        <w:tc>
          <w:tcPr>
            <w:tcW w:w="543" w:type="dxa"/>
            <w:vAlign w:val="center"/>
          </w:tcPr>
          <w:p w14:paraId="5A4EA398">
            <w:pPr>
              <w:numPr>
                <w:ilvl w:val="0"/>
                <w:numId w:val="2"/>
              </w:numPr>
              <w:spacing w:line="300" w:lineRule="exact"/>
              <w:jc w:val="center"/>
              <w:rPr>
                <w:rFonts w:ascii="仿宋_GB2312" w:hAnsi="黑体" w:eastAsia="仿宋_GB2312" w:cs="仿宋_GB2312"/>
                <w:sz w:val="24"/>
                <w:szCs w:val="24"/>
              </w:rPr>
            </w:pPr>
          </w:p>
        </w:tc>
        <w:tc>
          <w:tcPr>
            <w:tcW w:w="3415" w:type="dxa"/>
            <w:gridSpan w:val="3"/>
            <w:vAlign w:val="center"/>
          </w:tcPr>
          <w:p w14:paraId="26E9DB0D">
            <w:pPr>
              <w:spacing w:line="300" w:lineRule="exact"/>
              <w:rPr>
                <w:rFonts w:ascii="仿宋_GB2312" w:hAnsi="宋体" w:eastAsia="仿宋_GB2312"/>
                <w:sz w:val="24"/>
                <w:szCs w:val="24"/>
              </w:rPr>
            </w:pPr>
            <w:r>
              <w:rPr>
                <w:rFonts w:hint="eastAsia" w:ascii="仿宋_GB2312" w:hAnsi="宋体" w:eastAsia="仿宋_GB2312"/>
                <w:sz w:val="24"/>
                <w:szCs w:val="24"/>
              </w:rPr>
              <w:t>着力解决行政执法、土地出让、审批监管等重点领域的违法违规问题，防范商品交换原则向党内渗透，大力整治群众身边的不正之风，构建“亲”“清”新型政商关系。</w:t>
            </w:r>
            <w:r>
              <w:rPr>
                <w:rFonts w:hint="eastAsia" w:ascii="仿宋_GB2312" w:hAnsi="宋体" w:eastAsia="仿宋_GB2312"/>
                <w:b/>
                <w:sz w:val="24"/>
                <w:szCs w:val="24"/>
              </w:rPr>
              <w:t>（牵头单位：区纪委监委）</w:t>
            </w:r>
          </w:p>
        </w:tc>
        <w:tc>
          <w:tcPr>
            <w:tcW w:w="1134" w:type="dxa"/>
            <w:vAlign w:val="center"/>
          </w:tcPr>
          <w:p w14:paraId="55633E7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邹  强</w:t>
            </w:r>
          </w:p>
        </w:tc>
        <w:tc>
          <w:tcPr>
            <w:tcW w:w="3119" w:type="dxa"/>
            <w:vAlign w:val="center"/>
          </w:tcPr>
          <w:p w14:paraId="64A953E2">
            <w:pPr>
              <w:spacing w:line="300" w:lineRule="exact"/>
              <w:jc w:val="center"/>
              <w:rPr>
                <w:rFonts w:ascii="仿宋_GB2312" w:hAnsi="宋体" w:eastAsia="仿宋_GB2312"/>
                <w:sz w:val="24"/>
                <w:szCs w:val="24"/>
              </w:rPr>
            </w:pPr>
            <w:r>
              <w:rPr>
                <w:rFonts w:hint="eastAsia" w:ascii="仿宋_GB2312" w:hAnsi="宋体" w:eastAsia="仿宋_GB2312"/>
                <w:sz w:val="24"/>
                <w:szCs w:val="24"/>
              </w:rPr>
              <w:t>区纪委监委</w:t>
            </w:r>
          </w:p>
          <w:p w14:paraId="2E29F1E7">
            <w:pPr>
              <w:spacing w:line="300" w:lineRule="exact"/>
              <w:jc w:val="center"/>
              <w:rPr>
                <w:rFonts w:ascii="仿宋_GB2312" w:hAnsi="宋体" w:eastAsia="仿宋_GB2312"/>
                <w:sz w:val="24"/>
                <w:szCs w:val="24"/>
              </w:rPr>
            </w:pPr>
            <w:r>
              <w:rPr>
                <w:rFonts w:hint="eastAsia" w:ascii="仿宋_GB2312" w:hAnsi="宋体" w:eastAsia="仿宋_GB2312"/>
                <w:sz w:val="24"/>
                <w:szCs w:val="24"/>
              </w:rPr>
              <w:t>区直各单位党委（党组）</w:t>
            </w:r>
          </w:p>
          <w:p w14:paraId="140E381E">
            <w:pPr>
              <w:spacing w:line="300" w:lineRule="exact"/>
              <w:jc w:val="center"/>
              <w:rPr>
                <w:rFonts w:ascii="仿宋_GB2312" w:hAnsi="宋体" w:eastAsia="仿宋_GB2312"/>
                <w:sz w:val="24"/>
                <w:szCs w:val="24"/>
              </w:rPr>
            </w:pPr>
            <w:r>
              <w:rPr>
                <w:rFonts w:hint="eastAsia" w:ascii="仿宋_GB2312" w:hAnsi="宋体" w:eastAsia="仿宋_GB2312"/>
                <w:sz w:val="24"/>
                <w:szCs w:val="24"/>
              </w:rPr>
              <w:t>各镇（街）党（工）委</w:t>
            </w:r>
          </w:p>
        </w:tc>
        <w:tc>
          <w:tcPr>
            <w:tcW w:w="7187" w:type="dxa"/>
            <w:vAlign w:val="center"/>
          </w:tcPr>
          <w:p w14:paraId="22FC26FC">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748CE71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w:t>
            </w:r>
            <w:r>
              <w:rPr>
                <w:rFonts w:hint="eastAsia"/>
              </w:rPr>
              <w:t xml:space="preserve"> </w:t>
            </w:r>
            <w:r>
              <w:rPr>
                <w:rFonts w:hint="eastAsia" w:ascii="仿宋_GB2312" w:hAnsi="黑体" w:eastAsia="仿宋_GB2312" w:cs="Times New Roman"/>
                <w:sz w:val="24"/>
                <w:szCs w:val="24"/>
              </w:rPr>
              <w:t>2019年1月-3月查处环市街党工委原书记（广东珠西投资控股集团有限公司原董事长）涉嫌贪污受贿案件，现已移送司法机关；查处环市街道办农业服务中心原主任（广东珠西智谷投资有限公司原总经理）职务违法案件，现已移送区纪委监委案件审理部门；严肃查处环市街（珠西智谷）违纪违法问题；查处市公安局蓬江分局钱某某违纪案，已移送案审审理。</w:t>
            </w:r>
          </w:p>
          <w:p w14:paraId="797717FA">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w:t>
            </w:r>
            <w:r>
              <w:rPr>
                <w:rFonts w:hint="eastAsia"/>
              </w:rPr>
              <w:t xml:space="preserve"> </w:t>
            </w:r>
            <w:r>
              <w:rPr>
                <w:rFonts w:hint="eastAsia" w:ascii="仿宋_GB2312" w:hAnsi="黑体" w:eastAsia="仿宋_GB2312" w:cs="Times New Roman"/>
                <w:sz w:val="24"/>
                <w:szCs w:val="24"/>
              </w:rPr>
              <w:t>印发《关于落实〈广东省纪检监察机关集中整治形式主义、官僚主义工作措施〉的分工安排》，加强对促进民营经济发展政策落实情况的监督检查，坚决整治侵害群众利益的腐败和作风问题。</w:t>
            </w:r>
          </w:p>
          <w:p w14:paraId="5E1AD96B">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w:t>
            </w:r>
            <w:r>
              <w:rPr>
                <w:rFonts w:hint="eastAsia"/>
              </w:rPr>
              <w:t xml:space="preserve"> </w:t>
            </w:r>
            <w:r>
              <w:rPr>
                <w:rFonts w:hint="eastAsia" w:ascii="仿宋_GB2312" w:hAnsi="黑体" w:eastAsia="仿宋_GB2312" w:cs="Times New Roman"/>
                <w:sz w:val="24"/>
                <w:szCs w:val="24"/>
              </w:rPr>
              <w:t>加强典型案例剖析，对江门市公安局蓬江分局原党委委员、副局长顾启钊案件中官商勾结的问题深入剖析，报送到市纪委监委，录入《廉政警示教育读本（2019）》，结合今年纪律教育纪律教育学习月活动开展警示教育。</w:t>
            </w:r>
          </w:p>
        </w:tc>
      </w:tr>
    </w:tbl>
    <w:p w14:paraId="548EB545">
      <w:pPr>
        <w:spacing w:line="380" w:lineRule="exact"/>
        <w:jc w:val="left"/>
        <w:outlineLvl w:val="0"/>
        <w:rPr>
          <w:rFonts w:ascii="黑体" w:hAnsi="黑体" w:eastAsia="黑体" w:cs="Times New Roman"/>
          <w:sz w:val="32"/>
          <w:szCs w:val="32"/>
        </w:rPr>
      </w:pPr>
      <w:r>
        <w:rPr>
          <w:rFonts w:hint="eastAsia" w:ascii="黑体" w:hAnsi="黑体" w:eastAsia="黑体" w:cs="黑体"/>
          <w:sz w:val="32"/>
          <w:szCs w:val="32"/>
        </w:rPr>
        <w:t>三、区民生实事（共20项）</w:t>
      </w:r>
    </w:p>
    <w:tbl>
      <w:tblPr>
        <w:tblStyle w:val="18"/>
        <w:tblW w:w="15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992"/>
        <w:gridCol w:w="2410"/>
        <w:gridCol w:w="1134"/>
        <w:gridCol w:w="3119"/>
        <w:gridCol w:w="7198"/>
      </w:tblGrid>
      <w:tr w14:paraId="7DD7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67" w:type="dxa"/>
            <w:vAlign w:val="center"/>
          </w:tcPr>
          <w:p w14:paraId="17B14F17">
            <w:pPr>
              <w:spacing w:line="360" w:lineRule="exact"/>
              <w:jc w:val="center"/>
              <w:rPr>
                <w:rFonts w:ascii="黑体" w:hAnsi="黑体" w:eastAsia="黑体" w:cs="Times New Roman"/>
                <w:sz w:val="28"/>
                <w:szCs w:val="28"/>
              </w:rPr>
            </w:pPr>
            <w:r>
              <w:rPr>
                <w:rFonts w:hint="eastAsia" w:ascii="黑体" w:hAnsi="黑体" w:eastAsia="黑体" w:cs="黑体"/>
                <w:sz w:val="28"/>
                <w:szCs w:val="28"/>
              </w:rPr>
              <w:t>序号</w:t>
            </w:r>
          </w:p>
        </w:tc>
        <w:tc>
          <w:tcPr>
            <w:tcW w:w="3402" w:type="dxa"/>
            <w:gridSpan w:val="2"/>
            <w:vAlign w:val="center"/>
          </w:tcPr>
          <w:p w14:paraId="0F306463">
            <w:pPr>
              <w:spacing w:line="360" w:lineRule="exact"/>
              <w:jc w:val="center"/>
              <w:rPr>
                <w:rFonts w:ascii="黑体" w:hAnsi="黑体" w:eastAsia="黑体" w:cs="Times New Roman"/>
                <w:sz w:val="28"/>
                <w:szCs w:val="28"/>
              </w:rPr>
            </w:pPr>
            <w:r>
              <w:rPr>
                <w:rFonts w:hint="eastAsia" w:ascii="黑体" w:hAnsi="黑体" w:eastAsia="黑体" w:cs="黑体"/>
                <w:sz w:val="28"/>
                <w:szCs w:val="28"/>
              </w:rPr>
              <w:t>工作内容</w:t>
            </w:r>
          </w:p>
        </w:tc>
        <w:tc>
          <w:tcPr>
            <w:tcW w:w="1134" w:type="dxa"/>
            <w:vAlign w:val="center"/>
          </w:tcPr>
          <w:p w14:paraId="71A2F31F">
            <w:pPr>
              <w:spacing w:line="360" w:lineRule="exact"/>
              <w:jc w:val="center"/>
              <w:rPr>
                <w:rFonts w:ascii="黑体" w:hAnsi="黑体" w:eastAsia="黑体" w:cs="Times New Roman"/>
                <w:sz w:val="28"/>
                <w:szCs w:val="28"/>
              </w:rPr>
            </w:pPr>
            <w:r>
              <w:rPr>
                <w:rFonts w:hint="eastAsia" w:ascii="黑体" w:hAnsi="黑体" w:eastAsia="黑体" w:cs="Times New Roman"/>
                <w:sz w:val="28"/>
                <w:szCs w:val="28"/>
              </w:rPr>
              <w:t>责任</w:t>
            </w:r>
          </w:p>
          <w:p w14:paraId="0A2E7E18">
            <w:pPr>
              <w:spacing w:line="360" w:lineRule="exact"/>
              <w:jc w:val="center"/>
              <w:rPr>
                <w:rFonts w:ascii="黑体" w:hAnsi="黑体" w:eastAsia="黑体" w:cs="Times New Roman"/>
                <w:sz w:val="28"/>
                <w:szCs w:val="28"/>
              </w:rPr>
            </w:pPr>
            <w:r>
              <w:rPr>
                <w:rFonts w:hint="eastAsia" w:ascii="黑体" w:hAnsi="黑体" w:eastAsia="黑体" w:cs="Times New Roman"/>
                <w:sz w:val="28"/>
                <w:szCs w:val="28"/>
              </w:rPr>
              <w:t>领导</w:t>
            </w:r>
          </w:p>
        </w:tc>
        <w:tc>
          <w:tcPr>
            <w:tcW w:w="3119" w:type="dxa"/>
            <w:vAlign w:val="center"/>
          </w:tcPr>
          <w:p w14:paraId="6C01C214">
            <w:pPr>
              <w:spacing w:line="360" w:lineRule="exact"/>
              <w:jc w:val="center"/>
              <w:rPr>
                <w:rFonts w:ascii="黑体" w:hAnsi="黑体" w:eastAsia="黑体" w:cs="Times New Roman"/>
                <w:sz w:val="28"/>
                <w:szCs w:val="28"/>
              </w:rPr>
            </w:pPr>
            <w:r>
              <w:rPr>
                <w:rFonts w:hint="eastAsia" w:ascii="黑体" w:hAnsi="黑体" w:eastAsia="黑体" w:cs="黑体"/>
                <w:sz w:val="28"/>
                <w:szCs w:val="28"/>
              </w:rPr>
              <w:t>责任单位</w:t>
            </w:r>
          </w:p>
        </w:tc>
        <w:tc>
          <w:tcPr>
            <w:tcW w:w="7198" w:type="dxa"/>
            <w:vAlign w:val="center"/>
          </w:tcPr>
          <w:p w14:paraId="5A877487">
            <w:pPr>
              <w:spacing w:line="360" w:lineRule="exact"/>
              <w:ind w:left="-107" w:leftChars="-51" w:right="-82" w:rightChars="-39"/>
              <w:jc w:val="center"/>
              <w:rPr>
                <w:rFonts w:ascii="黑体" w:hAnsi="黑体" w:eastAsia="黑体" w:cs="Times New Roman"/>
                <w:sz w:val="28"/>
                <w:szCs w:val="28"/>
              </w:rPr>
            </w:pPr>
            <w:r>
              <w:rPr>
                <w:rFonts w:hint="eastAsia" w:ascii="黑体" w:hAnsi="黑体" w:eastAsia="黑体" w:cs="黑体"/>
                <w:sz w:val="28"/>
                <w:szCs w:val="28"/>
              </w:rPr>
              <w:t>进展情况</w:t>
            </w:r>
          </w:p>
        </w:tc>
      </w:tr>
      <w:tr w14:paraId="08C7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4" w:hRule="atLeast"/>
          <w:jc w:val="center"/>
        </w:trPr>
        <w:tc>
          <w:tcPr>
            <w:tcW w:w="567" w:type="dxa"/>
            <w:vAlign w:val="center"/>
          </w:tcPr>
          <w:p w14:paraId="4BB70E4F">
            <w:pPr>
              <w:numPr>
                <w:ilvl w:val="0"/>
                <w:numId w:val="3"/>
              </w:numPr>
              <w:spacing w:line="260" w:lineRule="exact"/>
              <w:rPr>
                <w:rFonts w:ascii="仿宋_GB2312" w:hAnsi="黑体" w:eastAsia="仿宋_GB2312" w:cs="仿宋_GB2312"/>
                <w:sz w:val="24"/>
                <w:szCs w:val="24"/>
              </w:rPr>
            </w:pPr>
          </w:p>
        </w:tc>
        <w:tc>
          <w:tcPr>
            <w:tcW w:w="992" w:type="dxa"/>
            <w:vAlign w:val="center"/>
          </w:tcPr>
          <w:p w14:paraId="1CA4A3A5">
            <w:pPr>
              <w:spacing w:line="260" w:lineRule="exact"/>
              <w:rPr>
                <w:rFonts w:ascii="黑体" w:hAnsi="黑体" w:eastAsia="黑体" w:cs="Times New Roman"/>
                <w:sz w:val="24"/>
                <w:szCs w:val="24"/>
              </w:rPr>
            </w:pPr>
            <w:r>
              <w:rPr>
                <w:rFonts w:hint="eastAsia" w:ascii="黑体" w:hAnsi="黑体" w:eastAsia="黑体" w:cs="Times New Roman"/>
                <w:sz w:val="24"/>
                <w:szCs w:val="24"/>
              </w:rPr>
              <w:t>一、提升基础教育服务水平</w:t>
            </w:r>
          </w:p>
        </w:tc>
        <w:tc>
          <w:tcPr>
            <w:tcW w:w="2410" w:type="dxa"/>
            <w:vAlign w:val="center"/>
          </w:tcPr>
          <w:p w14:paraId="378FCAFC">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补齐教育经费保障机制短板，建立学前教育、公办普通高中生均拨款制度及逐步增长机制，全区公办幼儿园年生均公用经费补助标准不低于每生每年300元，对符合条件的普惠性民办幼儿园给予补助。全区公办普通高中生均公用经费补助标准不低于每生每年500元；继续落实义务教育公用经费生均拨款制度，全区义务教育学校生均公用经费标准小学不低于每生每年1150元，初中不低于每生每年1950元。</w:t>
            </w:r>
            <w:r>
              <w:rPr>
                <w:rFonts w:hint="eastAsia" w:ascii="仿宋_GB2312" w:hAnsi="宋体" w:eastAsia="仿宋_GB2312"/>
                <w:b/>
                <w:sz w:val="24"/>
                <w:szCs w:val="24"/>
              </w:rPr>
              <w:t>（牵头单位：区教育局）</w:t>
            </w:r>
          </w:p>
        </w:tc>
        <w:tc>
          <w:tcPr>
            <w:tcW w:w="1134" w:type="dxa"/>
            <w:vAlign w:val="center"/>
          </w:tcPr>
          <w:p w14:paraId="40DA31B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77503D4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区教育局</w:t>
            </w:r>
          </w:p>
          <w:p w14:paraId="00A33FC5">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区财政局</w:t>
            </w:r>
          </w:p>
          <w:p w14:paraId="78DF734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198" w:type="dxa"/>
            <w:vAlign w:val="center"/>
          </w:tcPr>
          <w:p w14:paraId="5F18CDAC">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4BC51EA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经核定各学校（幼儿园）春季学期所需资金数128.505万元，每生150元，并向区财政局提交《关于核拨2019年春季学期学前教育生均公用经费拨款的函》；普通高中生均公用经费已按每生500元共160万元下达预算给学校使用；义务教育生均公用经费已按学生人数及标准（小学每生600元，初中每生1000元）核定春季学期所需资金5789.44万元，并向区财政局提交《关于核拨2019年春季学期免费义务教育财政补助资金的函》，其中区直公办学校所需资金2560.84万元已下达预算指标给各校使用。</w:t>
            </w:r>
          </w:p>
          <w:p w14:paraId="63ED519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w:t>
            </w:r>
            <w:r>
              <w:rPr>
                <w:rFonts w:hint="eastAsia" w:ascii="仿宋_GB2312" w:eastAsia="仿宋_GB2312"/>
                <w:sz w:val="24"/>
                <w:szCs w:val="24"/>
              </w:rPr>
              <w:t>已</w:t>
            </w:r>
            <w:r>
              <w:rPr>
                <w:rFonts w:hint="eastAsia" w:ascii="仿宋_GB2312" w:hAnsi="黑体" w:eastAsia="仿宋_GB2312" w:cs="Times New Roman"/>
                <w:sz w:val="24"/>
                <w:szCs w:val="24"/>
              </w:rPr>
              <w:t>印发《蓬江区公办普通高中生均公用经费拨款管理制度》、《蓬江区学前教育生均拨款管理制度》。</w:t>
            </w:r>
          </w:p>
        </w:tc>
      </w:tr>
      <w:tr w14:paraId="5462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567" w:type="dxa"/>
            <w:vAlign w:val="center"/>
          </w:tcPr>
          <w:p w14:paraId="36963F06">
            <w:pPr>
              <w:numPr>
                <w:ilvl w:val="0"/>
                <w:numId w:val="3"/>
              </w:numPr>
              <w:spacing w:line="260" w:lineRule="exact"/>
              <w:rPr>
                <w:rFonts w:ascii="仿宋_GB2312" w:hAnsi="黑体" w:eastAsia="仿宋_GB2312" w:cs="仿宋_GB2312"/>
                <w:sz w:val="24"/>
                <w:szCs w:val="24"/>
              </w:rPr>
            </w:pPr>
          </w:p>
        </w:tc>
        <w:tc>
          <w:tcPr>
            <w:tcW w:w="992" w:type="dxa"/>
            <w:vAlign w:val="center"/>
          </w:tcPr>
          <w:p w14:paraId="5821A03E">
            <w:pPr>
              <w:spacing w:line="260" w:lineRule="exact"/>
              <w:rPr>
                <w:rFonts w:ascii="黑体" w:hAnsi="黑体" w:eastAsia="黑体" w:cs="Times New Roman"/>
                <w:sz w:val="24"/>
                <w:szCs w:val="24"/>
              </w:rPr>
            </w:pPr>
            <w:r>
              <w:rPr>
                <w:rFonts w:hint="eastAsia" w:ascii="黑体" w:hAnsi="黑体" w:eastAsia="黑体" w:cs="Times New Roman"/>
                <w:sz w:val="24"/>
                <w:szCs w:val="24"/>
              </w:rPr>
              <w:t>一、提升基础教育服务水平</w:t>
            </w:r>
          </w:p>
        </w:tc>
        <w:tc>
          <w:tcPr>
            <w:tcW w:w="2410" w:type="dxa"/>
            <w:vAlign w:val="center"/>
          </w:tcPr>
          <w:p w14:paraId="33429544">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推进义务教育学校建设，基本建成里仁小学。</w:t>
            </w:r>
            <w:r>
              <w:rPr>
                <w:rFonts w:hint="eastAsia" w:ascii="仿宋_GB2312" w:hAnsi="宋体" w:eastAsia="仿宋_GB2312"/>
                <w:b/>
                <w:sz w:val="24"/>
                <w:szCs w:val="24"/>
              </w:rPr>
              <w:t>（牵头单位：区教育局）</w:t>
            </w:r>
          </w:p>
        </w:tc>
        <w:tc>
          <w:tcPr>
            <w:tcW w:w="1134" w:type="dxa"/>
            <w:vAlign w:val="center"/>
          </w:tcPr>
          <w:p w14:paraId="65BA7945">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2AF3448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区教育局</w:t>
            </w:r>
          </w:p>
          <w:p w14:paraId="09726B15">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区财政局</w:t>
            </w:r>
          </w:p>
          <w:p w14:paraId="6A7B19C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区住房城乡建设局</w:t>
            </w:r>
          </w:p>
          <w:p w14:paraId="416CBA32">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区自然资源局</w:t>
            </w:r>
          </w:p>
          <w:p w14:paraId="153456E6">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区委编办</w:t>
            </w:r>
          </w:p>
          <w:p w14:paraId="40AE6BEB">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区人力资源社会保障局</w:t>
            </w:r>
          </w:p>
          <w:p w14:paraId="0D830225">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环市街</w:t>
            </w:r>
          </w:p>
        </w:tc>
        <w:tc>
          <w:tcPr>
            <w:tcW w:w="7198" w:type="dxa"/>
            <w:vAlign w:val="center"/>
          </w:tcPr>
          <w:p w14:paraId="0FA0A673">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5095951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完成工地排水渠的安装迁移工作；基本完成土方平整开挖工作；工地上高压变压器迁移工作方案正处于审批流程；项目公司正对方案预算编制及变压器迁移施工单位进行招选。桩机已进场施工，正在进行桩基工程。</w:t>
            </w:r>
          </w:p>
        </w:tc>
      </w:tr>
      <w:tr w14:paraId="116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jc w:val="center"/>
        </w:trPr>
        <w:tc>
          <w:tcPr>
            <w:tcW w:w="567" w:type="dxa"/>
            <w:vAlign w:val="center"/>
          </w:tcPr>
          <w:p w14:paraId="792E4F1B">
            <w:pPr>
              <w:numPr>
                <w:ilvl w:val="0"/>
                <w:numId w:val="3"/>
              </w:numPr>
              <w:spacing w:line="260" w:lineRule="exact"/>
              <w:rPr>
                <w:rFonts w:ascii="仿宋_GB2312" w:hAnsi="黑体" w:eastAsia="仿宋_GB2312" w:cs="仿宋_GB2312"/>
                <w:sz w:val="24"/>
                <w:szCs w:val="24"/>
              </w:rPr>
            </w:pPr>
          </w:p>
        </w:tc>
        <w:tc>
          <w:tcPr>
            <w:tcW w:w="992" w:type="dxa"/>
            <w:vAlign w:val="center"/>
          </w:tcPr>
          <w:p w14:paraId="68D4E38D">
            <w:pPr>
              <w:spacing w:line="260" w:lineRule="exact"/>
              <w:rPr>
                <w:rFonts w:ascii="黑体" w:hAnsi="黑体" w:eastAsia="黑体" w:cs="Times New Roman"/>
                <w:sz w:val="24"/>
                <w:szCs w:val="24"/>
              </w:rPr>
            </w:pPr>
            <w:r>
              <w:rPr>
                <w:rFonts w:hint="eastAsia" w:ascii="黑体" w:hAnsi="黑体" w:eastAsia="黑体" w:cs="Times New Roman"/>
                <w:sz w:val="24"/>
                <w:szCs w:val="24"/>
              </w:rPr>
              <w:t>二、提升居民医疗卫生服务能力</w:t>
            </w:r>
          </w:p>
        </w:tc>
        <w:tc>
          <w:tcPr>
            <w:tcW w:w="2410" w:type="dxa"/>
            <w:vAlign w:val="center"/>
          </w:tcPr>
          <w:p w14:paraId="37AEB378">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进一步加大基层补贴，落实棠下镇卫生院、荷塘镇卫生院、杜阮镇卫生院、潮连街道社区卫生服务中心的基层医疗卫生机构事业费补助；落实棠下镇、荷塘镇、杜阮镇农村卫生站医生补贴。</w:t>
            </w:r>
            <w:r>
              <w:rPr>
                <w:rFonts w:hint="eastAsia" w:ascii="仿宋_GB2312" w:hAnsi="宋体" w:eastAsia="仿宋_GB2312"/>
                <w:b/>
                <w:sz w:val="24"/>
                <w:szCs w:val="24"/>
              </w:rPr>
              <w:t>（牵头单位：区卫生健康局）</w:t>
            </w:r>
          </w:p>
        </w:tc>
        <w:tc>
          <w:tcPr>
            <w:tcW w:w="1134" w:type="dxa"/>
            <w:vAlign w:val="center"/>
          </w:tcPr>
          <w:p w14:paraId="11911F4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王建新</w:t>
            </w:r>
          </w:p>
        </w:tc>
        <w:tc>
          <w:tcPr>
            <w:tcW w:w="3119" w:type="dxa"/>
            <w:vAlign w:val="center"/>
          </w:tcPr>
          <w:p w14:paraId="0F2A1B71">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区卫生健康局</w:t>
            </w:r>
          </w:p>
          <w:p w14:paraId="73FE12A1">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198" w:type="dxa"/>
            <w:vAlign w:val="center"/>
          </w:tcPr>
          <w:p w14:paraId="221BFEE6">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4D419E3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基层医疗卫生机构事业费补助已落实预算指标615.6万元，其中区级221.22万元，镇街394.38万元，待镇街核定后完成划拨工作；农村卫生站医生补贴已落实预算指标66.6万元，待考核完成后划拨。</w:t>
            </w:r>
          </w:p>
        </w:tc>
      </w:tr>
      <w:tr w14:paraId="125F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567" w:type="dxa"/>
            <w:vAlign w:val="center"/>
          </w:tcPr>
          <w:p w14:paraId="4CD9A58B">
            <w:pPr>
              <w:numPr>
                <w:ilvl w:val="0"/>
                <w:numId w:val="3"/>
              </w:numPr>
              <w:spacing w:line="260" w:lineRule="exact"/>
              <w:rPr>
                <w:rFonts w:ascii="仿宋_GB2312" w:hAnsi="黑体" w:eastAsia="仿宋_GB2312" w:cs="仿宋_GB2312"/>
                <w:sz w:val="24"/>
                <w:szCs w:val="24"/>
              </w:rPr>
            </w:pPr>
          </w:p>
        </w:tc>
        <w:tc>
          <w:tcPr>
            <w:tcW w:w="992" w:type="dxa"/>
            <w:vMerge w:val="restart"/>
            <w:vAlign w:val="center"/>
          </w:tcPr>
          <w:p w14:paraId="40C5059F">
            <w:pPr>
              <w:spacing w:line="260" w:lineRule="exact"/>
              <w:rPr>
                <w:rFonts w:ascii="黑体" w:hAnsi="黑体" w:eastAsia="黑体" w:cs="Times New Roman"/>
                <w:sz w:val="24"/>
                <w:szCs w:val="24"/>
              </w:rPr>
            </w:pPr>
            <w:r>
              <w:rPr>
                <w:rFonts w:hint="eastAsia" w:ascii="黑体" w:hAnsi="黑体" w:eastAsia="黑体" w:cs="Times New Roman"/>
                <w:sz w:val="24"/>
                <w:szCs w:val="24"/>
              </w:rPr>
              <w:t>二、提升居民医疗卫生服务能力</w:t>
            </w:r>
          </w:p>
        </w:tc>
        <w:tc>
          <w:tcPr>
            <w:tcW w:w="2410" w:type="dxa"/>
            <w:vAlign w:val="center"/>
          </w:tcPr>
          <w:p w14:paraId="653D0925">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实施农村妇女“两癌”免费检查，保障妇女健康，全年完成“两癌”筛查任务1800人。</w:t>
            </w:r>
            <w:r>
              <w:rPr>
                <w:rFonts w:hint="eastAsia" w:ascii="仿宋_GB2312" w:hAnsi="宋体" w:eastAsia="仿宋_GB2312"/>
                <w:b/>
                <w:sz w:val="24"/>
                <w:szCs w:val="24"/>
              </w:rPr>
              <w:t>（牵头单位：区卫生健康局）</w:t>
            </w:r>
          </w:p>
        </w:tc>
        <w:tc>
          <w:tcPr>
            <w:tcW w:w="1134" w:type="dxa"/>
            <w:vAlign w:val="center"/>
          </w:tcPr>
          <w:p w14:paraId="3E85EF2D">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王建新</w:t>
            </w:r>
          </w:p>
        </w:tc>
        <w:tc>
          <w:tcPr>
            <w:tcW w:w="3119" w:type="dxa"/>
            <w:vAlign w:val="center"/>
          </w:tcPr>
          <w:p w14:paraId="0785E5DA">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区卫生健康局</w:t>
            </w:r>
          </w:p>
          <w:p w14:paraId="2D02C14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棠下镇</w:t>
            </w:r>
          </w:p>
          <w:p w14:paraId="7AA1F9A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荷塘镇</w:t>
            </w:r>
          </w:p>
          <w:p w14:paraId="475FFEF7">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杜阮镇</w:t>
            </w:r>
          </w:p>
          <w:p w14:paraId="1654DDAA">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环市街</w:t>
            </w:r>
          </w:p>
          <w:p w14:paraId="052C11D9">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潮连镇</w:t>
            </w:r>
          </w:p>
        </w:tc>
        <w:tc>
          <w:tcPr>
            <w:tcW w:w="7198" w:type="dxa"/>
            <w:vAlign w:val="center"/>
          </w:tcPr>
          <w:p w14:paraId="03E146F2">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6409AC9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已组织各医院统一安排“两癌”筛查工作所需人财物和外送检验项目。</w:t>
            </w:r>
          </w:p>
        </w:tc>
      </w:tr>
      <w:tr w14:paraId="524F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567" w:type="dxa"/>
            <w:vAlign w:val="center"/>
          </w:tcPr>
          <w:p w14:paraId="62D38E4E">
            <w:pPr>
              <w:numPr>
                <w:ilvl w:val="0"/>
                <w:numId w:val="3"/>
              </w:numPr>
              <w:spacing w:line="260" w:lineRule="exact"/>
              <w:rPr>
                <w:rFonts w:ascii="仿宋_GB2312" w:hAnsi="黑体" w:eastAsia="仿宋_GB2312" w:cs="仿宋_GB2312"/>
                <w:sz w:val="24"/>
                <w:szCs w:val="24"/>
              </w:rPr>
            </w:pPr>
          </w:p>
        </w:tc>
        <w:tc>
          <w:tcPr>
            <w:tcW w:w="992" w:type="dxa"/>
            <w:vMerge w:val="continue"/>
            <w:vAlign w:val="center"/>
          </w:tcPr>
          <w:p w14:paraId="118B1C67">
            <w:pPr>
              <w:spacing w:line="260" w:lineRule="exact"/>
              <w:rPr>
                <w:rFonts w:ascii="黑体" w:hAnsi="黑体" w:eastAsia="黑体" w:cs="Times New Roman"/>
                <w:sz w:val="24"/>
                <w:szCs w:val="24"/>
              </w:rPr>
            </w:pPr>
          </w:p>
        </w:tc>
        <w:tc>
          <w:tcPr>
            <w:tcW w:w="2410" w:type="dxa"/>
            <w:vAlign w:val="center"/>
          </w:tcPr>
          <w:p w14:paraId="03EAE88C">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进一步加强基层医疗卫生人才队伍建设，全科医生规范化培训7名，全科医生转岗培训44名，乡村医生定向培养项目培训15名。</w:t>
            </w:r>
            <w:r>
              <w:rPr>
                <w:rFonts w:hint="eastAsia" w:ascii="仿宋_GB2312" w:hAnsi="宋体" w:eastAsia="仿宋_GB2312"/>
                <w:b/>
                <w:sz w:val="24"/>
                <w:szCs w:val="24"/>
              </w:rPr>
              <w:t>（牵头单位：区卫生健康局）</w:t>
            </w:r>
          </w:p>
        </w:tc>
        <w:tc>
          <w:tcPr>
            <w:tcW w:w="1134" w:type="dxa"/>
            <w:vAlign w:val="center"/>
          </w:tcPr>
          <w:p w14:paraId="128D5834">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王建新</w:t>
            </w:r>
          </w:p>
        </w:tc>
        <w:tc>
          <w:tcPr>
            <w:tcW w:w="3119" w:type="dxa"/>
            <w:vAlign w:val="center"/>
          </w:tcPr>
          <w:p w14:paraId="6BF9C253">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区卫生健康局</w:t>
            </w:r>
          </w:p>
        </w:tc>
        <w:tc>
          <w:tcPr>
            <w:tcW w:w="7198" w:type="dxa"/>
            <w:vAlign w:val="center"/>
          </w:tcPr>
          <w:p w14:paraId="04029FAE">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487AFF1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截至3月底，全科医生规范化培训共有5人在读；全科医生转岗培训共有41人在读；乡村医生定向培养共有15人在读。</w:t>
            </w:r>
          </w:p>
        </w:tc>
      </w:tr>
      <w:tr w14:paraId="1C7D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567" w:type="dxa"/>
            <w:vAlign w:val="center"/>
          </w:tcPr>
          <w:p w14:paraId="1BCD6419">
            <w:pPr>
              <w:numPr>
                <w:ilvl w:val="0"/>
                <w:numId w:val="3"/>
              </w:numPr>
              <w:spacing w:line="260" w:lineRule="exact"/>
              <w:rPr>
                <w:rFonts w:ascii="仿宋_GB2312" w:hAnsi="黑体" w:eastAsia="仿宋_GB2312" w:cs="仿宋_GB2312"/>
                <w:sz w:val="24"/>
                <w:szCs w:val="24"/>
              </w:rPr>
            </w:pPr>
          </w:p>
        </w:tc>
        <w:tc>
          <w:tcPr>
            <w:tcW w:w="992" w:type="dxa"/>
            <w:vMerge w:val="continue"/>
            <w:vAlign w:val="center"/>
          </w:tcPr>
          <w:p w14:paraId="2AF7645F">
            <w:pPr>
              <w:spacing w:line="260" w:lineRule="exact"/>
              <w:rPr>
                <w:rFonts w:ascii="黑体" w:hAnsi="黑体" w:eastAsia="黑体" w:cs="Times New Roman"/>
                <w:sz w:val="24"/>
                <w:szCs w:val="24"/>
              </w:rPr>
            </w:pPr>
          </w:p>
        </w:tc>
        <w:tc>
          <w:tcPr>
            <w:tcW w:w="2410" w:type="dxa"/>
            <w:vAlign w:val="center"/>
          </w:tcPr>
          <w:p w14:paraId="68FDD0DE">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加大基层医疗基础设施建设，推动棠下镇卫生院住院大楼建设工程。</w:t>
            </w:r>
            <w:r>
              <w:rPr>
                <w:rFonts w:hint="eastAsia" w:ascii="仿宋_GB2312" w:hAnsi="宋体" w:eastAsia="仿宋_GB2312"/>
                <w:b/>
                <w:sz w:val="24"/>
                <w:szCs w:val="24"/>
              </w:rPr>
              <w:t>（牵头单位：棠下镇）</w:t>
            </w:r>
          </w:p>
        </w:tc>
        <w:tc>
          <w:tcPr>
            <w:tcW w:w="1134" w:type="dxa"/>
            <w:vAlign w:val="center"/>
          </w:tcPr>
          <w:p w14:paraId="35B343E6">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王建新</w:t>
            </w:r>
          </w:p>
        </w:tc>
        <w:tc>
          <w:tcPr>
            <w:tcW w:w="3119" w:type="dxa"/>
            <w:vAlign w:val="center"/>
          </w:tcPr>
          <w:p w14:paraId="1784D34B">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棠下镇</w:t>
            </w:r>
          </w:p>
        </w:tc>
        <w:tc>
          <w:tcPr>
            <w:tcW w:w="7198" w:type="dxa"/>
            <w:vAlign w:val="center"/>
          </w:tcPr>
          <w:p w14:paraId="6F4C04B7">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1D46B53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棠下镇卫生院住院大楼已完成二层框架楼面结构施工。</w:t>
            </w:r>
          </w:p>
        </w:tc>
      </w:tr>
      <w:tr w14:paraId="1625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7" w:hRule="atLeast"/>
          <w:jc w:val="center"/>
        </w:trPr>
        <w:tc>
          <w:tcPr>
            <w:tcW w:w="567" w:type="dxa"/>
            <w:vAlign w:val="center"/>
          </w:tcPr>
          <w:p w14:paraId="2B6F2AC2">
            <w:pPr>
              <w:numPr>
                <w:ilvl w:val="0"/>
                <w:numId w:val="3"/>
              </w:numPr>
              <w:spacing w:line="260" w:lineRule="exact"/>
              <w:rPr>
                <w:rFonts w:ascii="仿宋_GB2312" w:hAnsi="黑体" w:eastAsia="仿宋_GB2312" w:cs="仿宋_GB2312"/>
                <w:sz w:val="24"/>
                <w:szCs w:val="24"/>
              </w:rPr>
            </w:pPr>
          </w:p>
        </w:tc>
        <w:tc>
          <w:tcPr>
            <w:tcW w:w="992" w:type="dxa"/>
            <w:vAlign w:val="center"/>
          </w:tcPr>
          <w:p w14:paraId="1BA4ADF4">
            <w:pPr>
              <w:spacing w:line="260" w:lineRule="exact"/>
              <w:rPr>
                <w:rFonts w:ascii="黑体" w:hAnsi="黑体" w:eastAsia="黑体" w:cs="Times New Roman"/>
                <w:sz w:val="24"/>
                <w:szCs w:val="24"/>
              </w:rPr>
            </w:pPr>
            <w:r>
              <w:rPr>
                <w:rFonts w:hint="eastAsia" w:ascii="黑体" w:hAnsi="黑体" w:eastAsia="黑体" w:cs="Times New Roman"/>
                <w:sz w:val="24"/>
                <w:szCs w:val="24"/>
              </w:rPr>
              <w:t>三、提高市场食品质量安全水平</w:t>
            </w:r>
          </w:p>
        </w:tc>
        <w:tc>
          <w:tcPr>
            <w:tcW w:w="2410" w:type="dxa"/>
            <w:vAlign w:val="center"/>
          </w:tcPr>
          <w:p w14:paraId="3442008B">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全面加强食品质量安全监督管理，完成不少于2千批次食品抽检任务，食品检验量达到每年每千人5批次；2019年在区内10个省重点考核市场开展以蔬菜、水产品等为主的快速检测，及时公示快检信息，对疑似不合格产品处置率100%，全面快检批次不少于4.5万批次。</w:t>
            </w:r>
            <w:r>
              <w:rPr>
                <w:rFonts w:hint="eastAsia" w:ascii="仿宋_GB2312" w:hAnsi="宋体" w:eastAsia="仿宋_GB2312"/>
                <w:b/>
                <w:sz w:val="24"/>
                <w:szCs w:val="24"/>
              </w:rPr>
              <w:t>（牵头单位：区市场监管局）</w:t>
            </w:r>
          </w:p>
        </w:tc>
        <w:tc>
          <w:tcPr>
            <w:tcW w:w="1134" w:type="dxa"/>
            <w:vAlign w:val="center"/>
          </w:tcPr>
          <w:p w14:paraId="479DC86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31798D41">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区市场监管局</w:t>
            </w:r>
          </w:p>
        </w:tc>
        <w:tc>
          <w:tcPr>
            <w:tcW w:w="7198" w:type="dxa"/>
            <w:vAlign w:val="center"/>
          </w:tcPr>
          <w:p w14:paraId="349F1A30">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2801061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 xml:space="preserve">1.截至3月底，已对10个重点快检市场累计开展快检15252批次，不合格79批次，合格率99.48%；处理不合格产品154.71kg，对不合格产品处置率达100%；其中蔬菜13521批次，合格率99.57%；水产品1131批次，合格率98.14%；肉禽蛋类600批次，合格率100%。 </w:t>
            </w:r>
          </w:p>
          <w:p w14:paraId="10142EA1">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根据市2019年食品抽检计划，结合区的实际，已制定区2019年千人5批次食品抽检方案，计划2019年抽检生产、流通、餐饮环节的食品（含食用农产品）的检验量任务为2200批次。目前已抽检食品229批次（流通115批次，生产64批次，食用农产品50批次），及时开展节假日应节食品的抽检专项，已完成全年任务的10.4%。其中已出结果180批次，不合格2批次，均立案调查中。</w:t>
            </w:r>
          </w:p>
        </w:tc>
      </w:tr>
      <w:tr w14:paraId="38E2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6" w:hRule="atLeast"/>
          <w:jc w:val="center"/>
        </w:trPr>
        <w:tc>
          <w:tcPr>
            <w:tcW w:w="567" w:type="dxa"/>
            <w:vAlign w:val="center"/>
          </w:tcPr>
          <w:p w14:paraId="10F9F9AF">
            <w:pPr>
              <w:numPr>
                <w:ilvl w:val="0"/>
                <w:numId w:val="3"/>
              </w:numPr>
              <w:spacing w:line="260" w:lineRule="exact"/>
              <w:rPr>
                <w:rFonts w:ascii="仿宋_GB2312" w:hAnsi="黑体" w:eastAsia="仿宋_GB2312" w:cs="仿宋_GB2312"/>
                <w:sz w:val="24"/>
                <w:szCs w:val="24"/>
              </w:rPr>
            </w:pPr>
          </w:p>
        </w:tc>
        <w:tc>
          <w:tcPr>
            <w:tcW w:w="992" w:type="dxa"/>
            <w:vAlign w:val="center"/>
          </w:tcPr>
          <w:p w14:paraId="684952F8">
            <w:pPr>
              <w:spacing w:line="260" w:lineRule="exact"/>
              <w:rPr>
                <w:rFonts w:ascii="黑体" w:hAnsi="黑体" w:eastAsia="黑体" w:cs="Times New Roman"/>
                <w:sz w:val="24"/>
                <w:szCs w:val="24"/>
              </w:rPr>
            </w:pPr>
            <w:r>
              <w:rPr>
                <w:rFonts w:hint="eastAsia" w:ascii="黑体" w:hAnsi="黑体" w:eastAsia="黑体" w:cs="Times New Roman"/>
                <w:sz w:val="24"/>
                <w:szCs w:val="24"/>
              </w:rPr>
              <w:t>四、提高底线民生保障水平</w:t>
            </w:r>
          </w:p>
        </w:tc>
        <w:tc>
          <w:tcPr>
            <w:tcW w:w="2410" w:type="dxa"/>
            <w:vAlign w:val="center"/>
          </w:tcPr>
          <w:p w14:paraId="709B6594">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逐步提高低保、特困、孤儿、残疾人两项补贴标准，实现城镇低保补差水平不低于低保标准的75%，农村低保补差水平不低于低保标准的50%，且不低于省定标准；特困人员基本生活标准按不低于低保标准的1.6倍，且不低于当地现行特困人员基本生活标准确定。孤儿基本生活最低养育集中供养每人每月1800元、分散供养每人每月1025元；困难残疾人生活补贴每人每年1980元，重度残疾人护理补贴每人每年2640元。</w:t>
            </w:r>
            <w:r>
              <w:rPr>
                <w:rFonts w:hint="eastAsia" w:ascii="仿宋_GB2312" w:hAnsi="宋体" w:eastAsia="仿宋_GB2312"/>
                <w:b/>
                <w:sz w:val="24"/>
                <w:szCs w:val="24"/>
              </w:rPr>
              <w:t>（牵头单位：区民政局）</w:t>
            </w:r>
          </w:p>
        </w:tc>
        <w:tc>
          <w:tcPr>
            <w:tcW w:w="1134" w:type="dxa"/>
            <w:vAlign w:val="center"/>
          </w:tcPr>
          <w:p w14:paraId="0D5DFDEE">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黄文坚</w:t>
            </w:r>
          </w:p>
        </w:tc>
        <w:tc>
          <w:tcPr>
            <w:tcW w:w="3119" w:type="dxa"/>
            <w:vAlign w:val="center"/>
          </w:tcPr>
          <w:p w14:paraId="7050F339">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区民政局</w:t>
            </w:r>
          </w:p>
          <w:p w14:paraId="3C655A8C">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198" w:type="dxa"/>
            <w:vAlign w:val="center"/>
          </w:tcPr>
          <w:p w14:paraId="0C44D27F">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3B95D60F">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完成残疾人两项补贴提标工作，发放标准为困难残疾人生活补贴每人每年1980元（即每人165元/月），重度残疾人护理补贴每人每年2640元（即每人220元/月）。截至3月底，困难残疾人生活补贴发放843人次，支出资金14.0355万元，重度残疾人护理补贴发放13553人次，支出资金30.9182万元。</w:t>
            </w:r>
          </w:p>
          <w:p w14:paraId="298515C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完成孤儿标准提标工作，发放标准为集中供养孤儿每人1990元/月，分散供养孤儿每人1240元/月，已于3月完成提标工作，同时并补发1、2月的差额。截止3月，集中供养孤儿44人，1-3月支出资金26.448万元，分散供养孤儿16人 ，1-3月支出资金5.952万元。</w:t>
            </w:r>
          </w:p>
          <w:p w14:paraId="15FF3A25">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3.低保、特困提标工作需待省、市出台2019年标准，报请区委、区政府后进行提标。</w:t>
            </w:r>
          </w:p>
        </w:tc>
      </w:tr>
      <w:tr w14:paraId="2B53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567" w:type="dxa"/>
            <w:vAlign w:val="center"/>
          </w:tcPr>
          <w:p w14:paraId="5A08FB5F">
            <w:pPr>
              <w:numPr>
                <w:ilvl w:val="0"/>
                <w:numId w:val="3"/>
              </w:numPr>
              <w:spacing w:line="260" w:lineRule="exact"/>
              <w:rPr>
                <w:rFonts w:ascii="仿宋_GB2312" w:hAnsi="黑体" w:eastAsia="仿宋_GB2312" w:cs="仿宋_GB2312"/>
                <w:sz w:val="24"/>
                <w:szCs w:val="24"/>
              </w:rPr>
            </w:pPr>
          </w:p>
        </w:tc>
        <w:tc>
          <w:tcPr>
            <w:tcW w:w="992" w:type="dxa"/>
            <w:vMerge w:val="restart"/>
            <w:vAlign w:val="center"/>
          </w:tcPr>
          <w:p w14:paraId="75942C04">
            <w:pPr>
              <w:spacing w:line="260" w:lineRule="exact"/>
              <w:rPr>
                <w:rFonts w:ascii="黑体" w:hAnsi="黑体" w:eastAsia="黑体" w:cs="Times New Roman"/>
                <w:sz w:val="24"/>
                <w:szCs w:val="24"/>
              </w:rPr>
            </w:pPr>
            <w:r>
              <w:rPr>
                <w:rFonts w:hint="eastAsia" w:ascii="黑体" w:hAnsi="黑体" w:eastAsia="黑体" w:cs="Times New Roman"/>
                <w:sz w:val="24"/>
                <w:szCs w:val="24"/>
              </w:rPr>
              <w:t>四、提高底线民生保障水平</w:t>
            </w:r>
          </w:p>
        </w:tc>
        <w:tc>
          <w:tcPr>
            <w:tcW w:w="2410" w:type="dxa"/>
            <w:vAlign w:val="center"/>
          </w:tcPr>
          <w:p w14:paraId="038C4050">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进一步提高城乡居民基</w:t>
            </w:r>
            <w:r>
              <w:rPr>
                <w:rFonts w:hint="eastAsia" w:ascii="仿宋_GB2312" w:hAnsi="宋体" w:eastAsia="仿宋_GB2312" w:cs="Times New Roman"/>
                <w:sz w:val="24"/>
                <w:szCs w:val="24"/>
                <w:lang w:eastAsia="zh-CN"/>
              </w:rPr>
              <w:t>本</w:t>
            </w:r>
            <w:bookmarkStart w:id="0" w:name="_GoBack"/>
            <w:bookmarkEnd w:id="0"/>
            <w:r>
              <w:rPr>
                <w:rFonts w:hint="eastAsia" w:ascii="仿宋_GB2312" w:hAnsi="宋体" w:eastAsia="仿宋_GB2312" w:cs="Times New Roman"/>
                <w:sz w:val="24"/>
                <w:szCs w:val="24"/>
              </w:rPr>
              <w:t>养老保险基础养老金最低标准，达到170元/月以上。</w:t>
            </w:r>
            <w:r>
              <w:rPr>
                <w:rFonts w:hint="eastAsia" w:ascii="仿宋_GB2312" w:hAnsi="宋体" w:eastAsia="仿宋_GB2312"/>
                <w:b/>
                <w:sz w:val="24"/>
                <w:szCs w:val="24"/>
              </w:rPr>
              <w:t>（牵头单位：区人力资源社会保障局）</w:t>
            </w:r>
          </w:p>
        </w:tc>
        <w:tc>
          <w:tcPr>
            <w:tcW w:w="1134" w:type="dxa"/>
            <w:vAlign w:val="center"/>
          </w:tcPr>
          <w:p w14:paraId="71455D19">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12A510FA">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区人力资源社会保障局</w:t>
            </w:r>
          </w:p>
          <w:p w14:paraId="1AC34C4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区财政局</w:t>
            </w:r>
          </w:p>
        </w:tc>
        <w:tc>
          <w:tcPr>
            <w:tcW w:w="7198" w:type="dxa"/>
            <w:vAlign w:val="center"/>
          </w:tcPr>
          <w:p w14:paraId="1303FF93">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1C5B0A2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自2018年1月1日起，区在省、市最低基础养老金148元的基础上增加25元，即目前区城乡居民基础养老金已提高至每人每月173元。按照三年调整机制计划，预计2019年区城乡居民基础养老金最低标准将再提高22元，提高后达到每人每月195元，具体调整时间待市最新提标文件正式下达后执行。</w:t>
            </w:r>
          </w:p>
        </w:tc>
      </w:tr>
      <w:tr w14:paraId="5C89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567" w:type="dxa"/>
            <w:vAlign w:val="center"/>
          </w:tcPr>
          <w:p w14:paraId="7FFB871E">
            <w:pPr>
              <w:numPr>
                <w:ilvl w:val="0"/>
                <w:numId w:val="3"/>
              </w:numPr>
              <w:spacing w:line="260" w:lineRule="exact"/>
              <w:rPr>
                <w:rFonts w:ascii="仿宋_GB2312" w:hAnsi="黑体" w:eastAsia="仿宋_GB2312" w:cs="仿宋_GB2312"/>
                <w:sz w:val="24"/>
                <w:szCs w:val="24"/>
              </w:rPr>
            </w:pPr>
          </w:p>
        </w:tc>
        <w:tc>
          <w:tcPr>
            <w:tcW w:w="992" w:type="dxa"/>
            <w:vMerge w:val="continue"/>
            <w:vAlign w:val="center"/>
          </w:tcPr>
          <w:p w14:paraId="19AA7A79">
            <w:pPr>
              <w:spacing w:line="260" w:lineRule="exact"/>
              <w:rPr>
                <w:rFonts w:ascii="黑体" w:hAnsi="黑体" w:eastAsia="黑体" w:cs="Times New Roman"/>
                <w:sz w:val="24"/>
                <w:szCs w:val="24"/>
              </w:rPr>
            </w:pPr>
          </w:p>
        </w:tc>
        <w:tc>
          <w:tcPr>
            <w:tcW w:w="2410" w:type="dxa"/>
            <w:vAlign w:val="center"/>
          </w:tcPr>
          <w:p w14:paraId="77361F14">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实施残疾人精准康复服务，为残疾人提供肢体康复、精神康复、视力康复等32项康复资助服务，受惠残疾人不少于1900例（人次），有康复需求的残疾儿童和持证残疾人接受基本康复服务比例达85%。</w:t>
            </w:r>
            <w:r>
              <w:rPr>
                <w:rFonts w:hint="eastAsia" w:ascii="仿宋_GB2312" w:hAnsi="宋体" w:eastAsia="仿宋_GB2312"/>
                <w:b/>
                <w:sz w:val="24"/>
                <w:szCs w:val="24"/>
              </w:rPr>
              <w:t>（牵头单位：区残联）</w:t>
            </w:r>
          </w:p>
        </w:tc>
        <w:tc>
          <w:tcPr>
            <w:tcW w:w="1134" w:type="dxa"/>
            <w:vAlign w:val="center"/>
          </w:tcPr>
          <w:p w14:paraId="6EC10DAA">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黄文坚</w:t>
            </w:r>
          </w:p>
        </w:tc>
        <w:tc>
          <w:tcPr>
            <w:tcW w:w="3119" w:type="dxa"/>
            <w:vAlign w:val="center"/>
          </w:tcPr>
          <w:p w14:paraId="72B6707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区残联</w:t>
            </w:r>
          </w:p>
          <w:p w14:paraId="27FDDD8E">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区教育局</w:t>
            </w:r>
          </w:p>
          <w:p w14:paraId="09C00C3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区民政局</w:t>
            </w:r>
          </w:p>
          <w:p w14:paraId="13D62BFA">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区财政局</w:t>
            </w:r>
          </w:p>
          <w:p w14:paraId="7DFCE13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区卫生健康局</w:t>
            </w:r>
          </w:p>
          <w:p w14:paraId="7CE14A75">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198" w:type="dxa"/>
            <w:vAlign w:val="center"/>
          </w:tcPr>
          <w:p w14:paraId="5CCF4F28">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01CF96E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已由基层精准康复服务小组对残疾人进行康复需求调查和评估，确定有康复服务需求的残疾人1611人。</w:t>
            </w:r>
          </w:p>
        </w:tc>
      </w:tr>
      <w:tr w14:paraId="5BE8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567" w:type="dxa"/>
            <w:vAlign w:val="center"/>
          </w:tcPr>
          <w:p w14:paraId="43AA55CD">
            <w:pPr>
              <w:numPr>
                <w:ilvl w:val="0"/>
                <w:numId w:val="3"/>
              </w:numPr>
              <w:spacing w:line="260" w:lineRule="exact"/>
              <w:rPr>
                <w:rFonts w:ascii="仿宋_GB2312" w:hAnsi="黑体" w:eastAsia="仿宋_GB2312" w:cs="仿宋_GB2312"/>
                <w:sz w:val="24"/>
                <w:szCs w:val="24"/>
              </w:rPr>
            </w:pPr>
          </w:p>
        </w:tc>
        <w:tc>
          <w:tcPr>
            <w:tcW w:w="992" w:type="dxa"/>
            <w:vMerge w:val="continue"/>
            <w:vAlign w:val="center"/>
          </w:tcPr>
          <w:p w14:paraId="7965D4D7">
            <w:pPr>
              <w:spacing w:line="260" w:lineRule="exact"/>
              <w:rPr>
                <w:rFonts w:ascii="黑体" w:hAnsi="黑体" w:eastAsia="黑体" w:cs="Times New Roman"/>
                <w:sz w:val="24"/>
                <w:szCs w:val="24"/>
              </w:rPr>
            </w:pPr>
          </w:p>
        </w:tc>
        <w:tc>
          <w:tcPr>
            <w:tcW w:w="2410" w:type="dxa"/>
            <w:vAlign w:val="center"/>
          </w:tcPr>
          <w:p w14:paraId="64B29E76">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加快推进蓬江区长者饭堂建设运营工作，力争在各镇（街）布点、全覆盖，完善相关配餐配套，为更多长者服务。</w:t>
            </w:r>
            <w:r>
              <w:rPr>
                <w:rFonts w:hint="eastAsia" w:ascii="仿宋_GB2312" w:hAnsi="宋体" w:eastAsia="仿宋_GB2312"/>
                <w:b/>
                <w:sz w:val="24"/>
                <w:szCs w:val="24"/>
              </w:rPr>
              <w:t>（牵头单位：区民政局）</w:t>
            </w:r>
          </w:p>
        </w:tc>
        <w:tc>
          <w:tcPr>
            <w:tcW w:w="1134" w:type="dxa"/>
            <w:vAlign w:val="center"/>
          </w:tcPr>
          <w:p w14:paraId="7792B04B">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黄文坚</w:t>
            </w:r>
          </w:p>
        </w:tc>
        <w:tc>
          <w:tcPr>
            <w:tcW w:w="3119" w:type="dxa"/>
            <w:vAlign w:val="center"/>
          </w:tcPr>
          <w:p w14:paraId="78A0A11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区民政局</w:t>
            </w:r>
          </w:p>
          <w:p w14:paraId="67D8CE86">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198" w:type="dxa"/>
            <w:vAlign w:val="center"/>
          </w:tcPr>
          <w:p w14:paraId="510D7DF0">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497B490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蓬江区长者饭堂“益食堂”项目计划方案已通过文件方式征询镇街的意见，现正呈区府办并按照《转发&lt;关于印发江门市2018年政府集中采购目录及限额标准的通知&gt;》（蓬江财监〔2018〕19号）有关规定和程序，委托具有相应资质的社会招标代理机构进行代理采购。已于3月28日召开机构动员会议，项目标书正在草拟中，招标工作已启动</w:t>
            </w:r>
          </w:p>
          <w:p w14:paraId="68218E9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已将蓬江区长者饭堂建设正式纳入镇街考核方案，明确要求各镇、街在年底前必须建成至少一个长者饭堂建设并投入使用。</w:t>
            </w:r>
          </w:p>
        </w:tc>
      </w:tr>
      <w:tr w14:paraId="5AF2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567" w:type="dxa"/>
            <w:vAlign w:val="center"/>
          </w:tcPr>
          <w:p w14:paraId="6221140D">
            <w:pPr>
              <w:numPr>
                <w:ilvl w:val="0"/>
                <w:numId w:val="3"/>
              </w:numPr>
              <w:spacing w:line="260" w:lineRule="exact"/>
              <w:rPr>
                <w:rFonts w:ascii="仿宋_GB2312" w:hAnsi="黑体" w:eastAsia="仿宋_GB2312" w:cs="仿宋_GB2312"/>
                <w:sz w:val="24"/>
                <w:szCs w:val="24"/>
              </w:rPr>
            </w:pPr>
          </w:p>
        </w:tc>
        <w:tc>
          <w:tcPr>
            <w:tcW w:w="992" w:type="dxa"/>
            <w:vMerge w:val="restart"/>
            <w:vAlign w:val="center"/>
          </w:tcPr>
          <w:p w14:paraId="6FC51608">
            <w:pPr>
              <w:spacing w:line="260" w:lineRule="exact"/>
              <w:rPr>
                <w:rFonts w:ascii="黑体" w:hAnsi="黑体" w:eastAsia="黑体" w:cs="Times New Roman"/>
                <w:sz w:val="24"/>
                <w:szCs w:val="24"/>
              </w:rPr>
            </w:pPr>
            <w:r>
              <w:rPr>
                <w:rFonts w:hint="eastAsia" w:ascii="黑体" w:hAnsi="黑体" w:eastAsia="黑体" w:cs="Times New Roman"/>
                <w:sz w:val="24"/>
                <w:szCs w:val="24"/>
              </w:rPr>
              <w:t>五、加大力度促进就业创业</w:t>
            </w:r>
          </w:p>
        </w:tc>
        <w:tc>
          <w:tcPr>
            <w:tcW w:w="2410" w:type="dxa"/>
            <w:vAlign w:val="center"/>
          </w:tcPr>
          <w:p w14:paraId="5347778E">
            <w:pPr>
              <w:spacing w:line="260" w:lineRule="exact"/>
              <w:rPr>
                <w:rFonts w:ascii="仿宋_GB2312" w:hAnsi="宋体" w:eastAsia="仿宋_GB2312" w:cs="Times New Roman"/>
                <w:sz w:val="24"/>
                <w:szCs w:val="24"/>
                <w:highlight w:val="yellow"/>
              </w:rPr>
            </w:pPr>
            <w:r>
              <w:rPr>
                <w:rFonts w:hint="eastAsia" w:ascii="仿宋_GB2312" w:hAnsi="宋体" w:eastAsia="仿宋_GB2312" w:cs="Times New Roman"/>
                <w:sz w:val="24"/>
                <w:szCs w:val="24"/>
              </w:rPr>
              <w:t>工伤保险在全面实施浮动费率的基础上，阶段性下调缴费费率，平均费率再下降20%左右。</w:t>
            </w:r>
            <w:r>
              <w:rPr>
                <w:rFonts w:hint="eastAsia" w:ascii="仿宋_GB2312" w:hAnsi="宋体" w:eastAsia="仿宋_GB2312"/>
                <w:b/>
                <w:sz w:val="24"/>
                <w:szCs w:val="24"/>
              </w:rPr>
              <w:t>（牵头单位：区人力资源社会保障局）</w:t>
            </w:r>
          </w:p>
        </w:tc>
        <w:tc>
          <w:tcPr>
            <w:tcW w:w="1134" w:type="dxa"/>
            <w:vAlign w:val="center"/>
          </w:tcPr>
          <w:p w14:paraId="2B4768F7">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何惠能</w:t>
            </w:r>
          </w:p>
        </w:tc>
        <w:tc>
          <w:tcPr>
            <w:tcW w:w="3119" w:type="dxa"/>
            <w:vAlign w:val="center"/>
          </w:tcPr>
          <w:p w14:paraId="4D9C375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区人力资源社会保障局</w:t>
            </w:r>
          </w:p>
          <w:p w14:paraId="4DAB5FF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区税务局</w:t>
            </w:r>
          </w:p>
        </w:tc>
        <w:tc>
          <w:tcPr>
            <w:tcW w:w="7198" w:type="dxa"/>
            <w:vAlign w:val="center"/>
          </w:tcPr>
          <w:p w14:paraId="160C61B7">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6F75CF4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根据《转发关于阶段性下调省工伤保险缴费费率的通知》（江人社发〔2018〕569号）和《关于印发江门市工伤保险费率浮动管理办法的通知》（江人社发〔2016〕180号）的文件要求，区从2019年1月1日起，现行缴费费率统一阶段性下调20%。</w:t>
            </w:r>
          </w:p>
        </w:tc>
      </w:tr>
      <w:tr w14:paraId="21D2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567" w:type="dxa"/>
            <w:vAlign w:val="center"/>
          </w:tcPr>
          <w:p w14:paraId="22A9D092">
            <w:pPr>
              <w:numPr>
                <w:ilvl w:val="0"/>
                <w:numId w:val="3"/>
              </w:numPr>
              <w:spacing w:line="260" w:lineRule="exact"/>
              <w:rPr>
                <w:rFonts w:ascii="仿宋_GB2312" w:hAnsi="黑体" w:eastAsia="仿宋_GB2312" w:cs="仿宋_GB2312"/>
                <w:sz w:val="24"/>
                <w:szCs w:val="24"/>
              </w:rPr>
            </w:pPr>
          </w:p>
        </w:tc>
        <w:tc>
          <w:tcPr>
            <w:tcW w:w="992" w:type="dxa"/>
            <w:vMerge w:val="continue"/>
            <w:vAlign w:val="center"/>
          </w:tcPr>
          <w:p w14:paraId="6BD03D0C">
            <w:pPr>
              <w:spacing w:line="260" w:lineRule="exact"/>
              <w:rPr>
                <w:rFonts w:ascii="黑体" w:hAnsi="黑体" w:eastAsia="黑体" w:cs="Times New Roman"/>
                <w:sz w:val="24"/>
                <w:szCs w:val="24"/>
              </w:rPr>
            </w:pPr>
          </w:p>
        </w:tc>
        <w:tc>
          <w:tcPr>
            <w:tcW w:w="2410" w:type="dxa"/>
            <w:vAlign w:val="center"/>
          </w:tcPr>
          <w:p w14:paraId="58C62043">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深入推进“圆梦计划”，择优推荐我区务工的优秀新时代工人参加学历继续教育的本、专科学习，打通新生代产业工人成长发展的向上通道。</w:t>
            </w:r>
            <w:r>
              <w:rPr>
                <w:rFonts w:hint="eastAsia" w:ascii="仿宋_GB2312" w:hAnsi="宋体" w:eastAsia="仿宋_GB2312"/>
                <w:b/>
                <w:sz w:val="24"/>
                <w:szCs w:val="24"/>
              </w:rPr>
              <w:t>（牵头单位：团区委）</w:t>
            </w:r>
          </w:p>
        </w:tc>
        <w:tc>
          <w:tcPr>
            <w:tcW w:w="1134" w:type="dxa"/>
            <w:vAlign w:val="center"/>
          </w:tcPr>
          <w:p w14:paraId="075682E3">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林伟勤</w:t>
            </w:r>
          </w:p>
        </w:tc>
        <w:tc>
          <w:tcPr>
            <w:tcW w:w="3119" w:type="dxa"/>
            <w:vAlign w:val="center"/>
          </w:tcPr>
          <w:p w14:paraId="45750A5C">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团区委</w:t>
            </w:r>
          </w:p>
        </w:tc>
        <w:tc>
          <w:tcPr>
            <w:tcW w:w="7198" w:type="dxa"/>
            <w:vAlign w:val="center"/>
          </w:tcPr>
          <w:p w14:paraId="10DCF331">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55DA0DF8">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根据市的统一工作安排部署，“圆梦计划”拟在度7月开展，现正在统筹协调中。</w:t>
            </w:r>
          </w:p>
        </w:tc>
      </w:tr>
      <w:tr w14:paraId="1433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jc w:val="center"/>
        </w:trPr>
        <w:tc>
          <w:tcPr>
            <w:tcW w:w="567" w:type="dxa"/>
            <w:vAlign w:val="center"/>
          </w:tcPr>
          <w:p w14:paraId="3D02EAE6">
            <w:pPr>
              <w:numPr>
                <w:ilvl w:val="0"/>
                <w:numId w:val="3"/>
              </w:numPr>
              <w:spacing w:line="260" w:lineRule="exact"/>
              <w:rPr>
                <w:rFonts w:ascii="仿宋_GB2312" w:hAnsi="黑体" w:eastAsia="仿宋_GB2312" w:cs="仿宋_GB2312"/>
                <w:sz w:val="24"/>
                <w:szCs w:val="24"/>
              </w:rPr>
            </w:pPr>
          </w:p>
        </w:tc>
        <w:tc>
          <w:tcPr>
            <w:tcW w:w="992" w:type="dxa"/>
            <w:vAlign w:val="center"/>
          </w:tcPr>
          <w:p w14:paraId="2434652F">
            <w:pPr>
              <w:spacing w:line="260" w:lineRule="exact"/>
              <w:rPr>
                <w:rFonts w:ascii="黑体" w:hAnsi="黑体" w:eastAsia="黑体" w:cs="Times New Roman"/>
                <w:sz w:val="24"/>
                <w:szCs w:val="24"/>
              </w:rPr>
            </w:pPr>
            <w:r>
              <w:rPr>
                <w:rFonts w:hint="eastAsia" w:ascii="黑体" w:hAnsi="黑体" w:eastAsia="黑体" w:cs="Times New Roman"/>
                <w:sz w:val="24"/>
                <w:szCs w:val="24"/>
              </w:rPr>
              <w:t>六、加大精准脱贫攻坚力度</w:t>
            </w:r>
          </w:p>
        </w:tc>
        <w:tc>
          <w:tcPr>
            <w:tcW w:w="2410" w:type="dxa"/>
            <w:vAlign w:val="center"/>
          </w:tcPr>
          <w:p w14:paraId="22F379EA">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按照市扶贫办的工作任务，开展低收入人口精准识别，重点在全区范围组织开展低收入人口对象认定。制定完善相关配套帮扶政策，推动相关保障政策和增收政策的落实，建立长效帮扶机制。</w:t>
            </w:r>
            <w:r>
              <w:rPr>
                <w:rFonts w:hint="eastAsia" w:ascii="仿宋_GB2312" w:hAnsi="宋体" w:eastAsia="仿宋_GB2312"/>
                <w:b/>
                <w:sz w:val="24"/>
                <w:szCs w:val="24"/>
              </w:rPr>
              <w:t>（牵头单位：区农业农村和水利局）</w:t>
            </w:r>
          </w:p>
        </w:tc>
        <w:tc>
          <w:tcPr>
            <w:tcW w:w="1134" w:type="dxa"/>
            <w:vAlign w:val="center"/>
          </w:tcPr>
          <w:p w14:paraId="7D31FDAD">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谢树浓</w:t>
            </w:r>
          </w:p>
        </w:tc>
        <w:tc>
          <w:tcPr>
            <w:tcW w:w="3119" w:type="dxa"/>
            <w:vAlign w:val="center"/>
          </w:tcPr>
          <w:p w14:paraId="54640825">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区扶贫办</w:t>
            </w:r>
          </w:p>
          <w:p w14:paraId="3DE5454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区民政局</w:t>
            </w:r>
          </w:p>
          <w:p w14:paraId="23A66FE1">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198" w:type="dxa"/>
            <w:vAlign w:val="center"/>
          </w:tcPr>
          <w:p w14:paraId="0DCF4AE4">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189A36E9">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起草《关于江门市蓬江区推动扶贫线与低保线“两线合一”改革试点工作的实施方案》、《江门市蓬江区关于推进扶贫线与低保线“两线合一”长效帮扶机制三年扶贫行动方案（2018- 2020年）》，进入征求意见阶段。</w:t>
            </w:r>
          </w:p>
          <w:p w14:paraId="779CCDDD">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2.切实增加帮扶对象的医疗保障，支付28.56万元为952名2016-2018年精准扶贫帮扶对象购买商业重大疾病保险。</w:t>
            </w:r>
          </w:p>
        </w:tc>
      </w:tr>
      <w:tr w14:paraId="4587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567" w:type="dxa"/>
            <w:vAlign w:val="center"/>
          </w:tcPr>
          <w:p w14:paraId="46349906">
            <w:pPr>
              <w:numPr>
                <w:ilvl w:val="0"/>
                <w:numId w:val="3"/>
              </w:numPr>
              <w:spacing w:line="260" w:lineRule="exact"/>
              <w:rPr>
                <w:rFonts w:ascii="仿宋_GB2312" w:hAnsi="黑体" w:eastAsia="仿宋_GB2312" w:cs="仿宋_GB2312"/>
                <w:sz w:val="24"/>
                <w:szCs w:val="24"/>
              </w:rPr>
            </w:pPr>
          </w:p>
        </w:tc>
        <w:tc>
          <w:tcPr>
            <w:tcW w:w="992" w:type="dxa"/>
            <w:vAlign w:val="center"/>
          </w:tcPr>
          <w:p w14:paraId="16218FDD">
            <w:pPr>
              <w:spacing w:line="260" w:lineRule="exact"/>
              <w:rPr>
                <w:rFonts w:ascii="黑体" w:hAnsi="黑体" w:eastAsia="黑体" w:cs="Times New Roman"/>
                <w:sz w:val="24"/>
                <w:szCs w:val="24"/>
              </w:rPr>
            </w:pPr>
            <w:r>
              <w:rPr>
                <w:rFonts w:hint="eastAsia" w:ascii="黑体" w:hAnsi="黑体" w:eastAsia="黑体" w:cs="Times New Roman"/>
                <w:sz w:val="24"/>
                <w:szCs w:val="24"/>
              </w:rPr>
              <w:t>七、加快提升公共文化服务水平</w:t>
            </w:r>
          </w:p>
        </w:tc>
        <w:tc>
          <w:tcPr>
            <w:tcW w:w="2410" w:type="dxa"/>
            <w:vAlign w:val="center"/>
          </w:tcPr>
          <w:p w14:paraId="0B8CB78E">
            <w:pPr>
              <w:spacing w:line="240" w:lineRule="exact"/>
              <w:rPr>
                <w:rFonts w:ascii="仿宋_GB2312" w:hAnsi="宋体" w:eastAsia="仿宋_GB2312" w:cs="Times New Roman"/>
                <w:sz w:val="24"/>
                <w:szCs w:val="24"/>
              </w:rPr>
            </w:pPr>
            <w:r>
              <w:rPr>
                <w:rFonts w:hint="eastAsia" w:ascii="仿宋_GB2312" w:hAnsi="宋体" w:eastAsia="仿宋_GB2312" w:cs="Times New Roman"/>
                <w:sz w:val="24"/>
                <w:szCs w:val="24"/>
              </w:rPr>
              <w:t>完善区、镇（街）、村（社区）三级文化设施网络，启动区文化中心建设，推动文化馆、图书馆总、分馆和新时代文明实践中心（所、站）建设。</w:t>
            </w:r>
            <w:r>
              <w:rPr>
                <w:rFonts w:hint="eastAsia" w:ascii="仿宋_GB2312" w:hAnsi="宋体" w:eastAsia="仿宋_GB2312"/>
                <w:b/>
                <w:sz w:val="24"/>
                <w:szCs w:val="24"/>
              </w:rPr>
              <w:t>（牵头单位：区文化广电旅游体育局）</w:t>
            </w:r>
          </w:p>
        </w:tc>
        <w:tc>
          <w:tcPr>
            <w:tcW w:w="1134" w:type="dxa"/>
            <w:vAlign w:val="center"/>
          </w:tcPr>
          <w:p w14:paraId="07FEEF38">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  莲</w:t>
            </w:r>
          </w:p>
        </w:tc>
        <w:tc>
          <w:tcPr>
            <w:tcW w:w="3119" w:type="dxa"/>
            <w:vAlign w:val="center"/>
          </w:tcPr>
          <w:p w14:paraId="02DFC8A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区文化广电旅游体育局</w:t>
            </w:r>
          </w:p>
          <w:p w14:paraId="78B5A862">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区文明办</w:t>
            </w:r>
          </w:p>
          <w:p w14:paraId="62B7C14D">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198" w:type="dxa"/>
            <w:vAlign w:val="center"/>
          </w:tcPr>
          <w:p w14:paraId="62CB6515">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1E4CD61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1.蓬江区文化中心与市档案中心合建，项目正处设计阶段。</w:t>
            </w:r>
          </w:p>
          <w:p w14:paraId="0F08E08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区图书馆已建成分馆4个，服务点9个，剩余2个分馆及9个服务点已经全部确定选点；区文化馆已建成分馆2个，服务点8个，剩余4个分馆及10个服务点已确定建设选点，部分已动工建设；印发《关于加快蓬江区文化馆图书馆总分馆建设进度的通知》（蓬江文广旅体发〔2019〕18号），定期督促各镇街完成节点任务。</w:t>
            </w:r>
          </w:p>
          <w:p w14:paraId="776A4B93">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3.从各镇、街选定6个实践所、12个实践站试点进行重点打造；结合乡村振兴实绩检查工作，对镇、村文明实践所、站建设进行实地考察和指导；区级新时代文明实践中心正在进行场地布置和宣传氛围营造。</w:t>
            </w:r>
          </w:p>
        </w:tc>
      </w:tr>
      <w:tr w14:paraId="4BA4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jc w:val="center"/>
        </w:trPr>
        <w:tc>
          <w:tcPr>
            <w:tcW w:w="567" w:type="dxa"/>
            <w:vAlign w:val="center"/>
          </w:tcPr>
          <w:p w14:paraId="0C792933">
            <w:pPr>
              <w:numPr>
                <w:ilvl w:val="0"/>
                <w:numId w:val="3"/>
              </w:numPr>
              <w:spacing w:line="260" w:lineRule="exact"/>
              <w:rPr>
                <w:rFonts w:ascii="仿宋_GB2312" w:hAnsi="黑体" w:eastAsia="仿宋_GB2312" w:cs="仿宋_GB2312"/>
                <w:sz w:val="24"/>
                <w:szCs w:val="24"/>
              </w:rPr>
            </w:pPr>
          </w:p>
        </w:tc>
        <w:tc>
          <w:tcPr>
            <w:tcW w:w="992" w:type="dxa"/>
            <w:vAlign w:val="center"/>
          </w:tcPr>
          <w:p w14:paraId="6BDB0996">
            <w:pPr>
              <w:spacing w:line="260" w:lineRule="exact"/>
              <w:rPr>
                <w:rFonts w:ascii="黑体" w:hAnsi="黑体" w:eastAsia="黑体" w:cs="Times New Roman"/>
                <w:sz w:val="24"/>
                <w:szCs w:val="24"/>
              </w:rPr>
            </w:pPr>
            <w:r>
              <w:rPr>
                <w:rFonts w:hint="eastAsia" w:ascii="黑体" w:hAnsi="黑体" w:eastAsia="黑体" w:cs="Times New Roman"/>
                <w:sz w:val="24"/>
                <w:szCs w:val="24"/>
              </w:rPr>
              <w:t>七、加快提升公共文化服务水平</w:t>
            </w:r>
          </w:p>
        </w:tc>
        <w:tc>
          <w:tcPr>
            <w:tcW w:w="2410" w:type="dxa"/>
            <w:vAlign w:val="center"/>
          </w:tcPr>
          <w:p w14:paraId="6053A696">
            <w:pPr>
              <w:spacing w:line="240" w:lineRule="exact"/>
              <w:rPr>
                <w:rFonts w:ascii="仿宋_GB2312" w:hAnsi="宋体" w:eastAsia="仿宋_GB2312" w:cs="Times New Roman"/>
                <w:sz w:val="24"/>
                <w:szCs w:val="24"/>
              </w:rPr>
            </w:pPr>
            <w:r>
              <w:rPr>
                <w:rFonts w:hint="eastAsia" w:ascii="仿宋_GB2312" w:hAnsi="宋体" w:eastAsia="仿宋_GB2312" w:cs="Times New Roman"/>
                <w:sz w:val="24"/>
                <w:szCs w:val="24"/>
              </w:rPr>
              <w:t>举办“百姓文化大舞台”“村居欢乐送”等群众性文体活动，打造“十分钟文化圈”。</w:t>
            </w:r>
            <w:r>
              <w:rPr>
                <w:rFonts w:hint="eastAsia" w:ascii="仿宋_GB2312" w:hAnsi="宋体" w:eastAsia="仿宋_GB2312"/>
                <w:b/>
                <w:sz w:val="24"/>
                <w:szCs w:val="24"/>
              </w:rPr>
              <w:t>（牵头单位：区文化广电旅游体育局）</w:t>
            </w:r>
          </w:p>
        </w:tc>
        <w:tc>
          <w:tcPr>
            <w:tcW w:w="1134" w:type="dxa"/>
            <w:vAlign w:val="center"/>
          </w:tcPr>
          <w:p w14:paraId="6B57B9B8">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何  莲</w:t>
            </w:r>
          </w:p>
        </w:tc>
        <w:tc>
          <w:tcPr>
            <w:tcW w:w="3119" w:type="dxa"/>
            <w:vAlign w:val="center"/>
          </w:tcPr>
          <w:p w14:paraId="012648FB">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区文化广电旅游体育局</w:t>
            </w:r>
          </w:p>
          <w:p w14:paraId="457AD004">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各镇、街</w:t>
            </w:r>
          </w:p>
        </w:tc>
        <w:tc>
          <w:tcPr>
            <w:tcW w:w="7198" w:type="dxa"/>
            <w:vAlign w:val="center"/>
          </w:tcPr>
          <w:p w14:paraId="63A271B0">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75B8601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1.已完成全年“百姓文化大舞台”群众文化活动计划，将在各镇、街全面铺开“百姓文化大舞台”活动工作。</w:t>
            </w:r>
          </w:p>
          <w:p w14:paraId="7DD323A7">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2.已在原有的6个“村居欢乐送”示范村（居）基础上，增设4个示范村（居）。</w:t>
            </w:r>
          </w:p>
          <w:p w14:paraId="1FA3578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3.已制定蓬江区第三届“体育节”系列活动、第七届中国侨都健走马拉松大赛（蓬江赛场）等大型群众体育活动初步方案。</w:t>
            </w:r>
          </w:p>
        </w:tc>
      </w:tr>
      <w:tr w14:paraId="2E89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9" w:hRule="atLeast"/>
          <w:jc w:val="center"/>
        </w:trPr>
        <w:tc>
          <w:tcPr>
            <w:tcW w:w="567" w:type="dxa"/>
            <w:vAlign w:val="center"/>
          </w:tcPr>
          <w:p w14:paraId="4CDAA1E6">
            <w:pPr>
              <w:numPr>
                <w:ilvl w:val="0"/>
                <w:numId w:val="3"/>
              </w:numPr>
              <w:spacing w:line="260" w:lineRule="exact"/>
              <w:rPr>
                <w:rFonts w:ascii="仿宋_GB2312" w:hAnsi="黑体" w:eastAsia="仿宋_GB2312" w:cs="仿宋_GB2312"/>
                <w:sz w:val="24"/>
                <w:szCs w:val="24"/>
              </w:rPr>
            </w:pPr>
          </w:p>
        </w:tc>
        <w:tc>
          <w:tcPr>
            <w:tcW w:w="992" w:type="dxa"/>
            <w:vAlign w:val="center"/>
          </w:tcPr>
          <w:p w14:paraId="4F2CBB78">
            <w:pPr>
              <w:spacing w:line="260" w:lineRule="exact"/>
              <w:rPr>
                <w:rFonts w:ascii="黑体" w:hAnsi="黑体" w:eastAsia="黑体" w:cs="Times New Roman"/>
                <w:sz w:val="24"/>
                <w:szCs w:val="24"/>
              </w:rPr>
            </w:pPr>
            <w:r>
              <w:rPr>
                <w:rFonts w:hint="eastAsia" w:ascii="黑体" w:hAnsi="黑体" w:eastAsia="黑体" w:cs="Times New Roman"/>
                <w:sz w:val="24"/>
                <w:szCs w:val="24"/>
              </w:rPr>
              <w:t>八、建设“四好农村路”</w:t>
            </w:r>
          </w:p>
        </w:tc>
        <w:tc>
          <w:tcPr>
            <w:tcW w:w="2410" w:type="dxa"/>
            <w:vAlign w:val="center"/>
          </w:tcPr>
          <w:p w14:paraId="68DD0C09">
            <w:pPr>
              <w:spacing w:line="240" w:lineRule="exact"/>
              <w:rPr>
                <w:rFonts w:ascii="仿宋_GB2312" w:hAnsi="宋体" w:eastAsia="仿宋_GB2312" w:cs="Times New Roman"/>
                <w:sz w:val="24"/>
                <w:szCs w:val="24"/>
              </w:rPr>
            </w:pPr>
            <w:r>
              <w:rPr>
                <w:rFonts w:hint="eastAsia" w:ascii="仿宋_GB2312" w:hAnsi="宋体" w:eastAsia="仿宋_GB2312" w:cs="Times New Roman"/>
                <w:sz w:val="24"/>
                <w:szCs w:val="24"/>
              </w:rPr>
              <w:t>改造影响人民群众出行安全的农村公路，完成农村公路15公里的建设任务，全力推进“四好农村路”示范路建设。</w:t>
            </w:r>
            <w:r>
              <w:rPr>
                <w:rFonts w:hint="eastAsia" w:ascii="仿宋_GB2312" w:hAnsi="宋体" w:eastAsia="仿宋_GB2312"/>
                <w:b/>
                <w:sz w:val="24"/>
                <w:szCs w:val="24"/>
              </w:rPr>
              <w:t>（牵头单位：区住房城乡建设局）</w:t>
            </w:r>
          </w:p>
        </w:tc>
        <w:tc>
          <w:tcPr>
            <w:tcW w:w="1134" w:type="dxa"/>
            <w:vAlign w:val="center"/>
          </w:tcPr>
          <w:p w14:paraId="5A2C97E6">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亢雁直</w:t>
            </w:r>
          </w:p>
        </w:tc>
        <w:tc>
          <w:tcPr>
            <w:tcW w:w="3119" w:type="dxa"/>
            <w:vAlign w:val="center"/>
          </w:tcPr>
          <w:p w14:paraId="07F569E1">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区住房城乡建设局</w:t>
            </w:r>
          </w:p>
          <w:p w14:paraId="19ADCC2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区自然资源局</w:t>
            </w:r>
          </w:p>
          <w:p w14:paraId="52714F92">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区科工商务局</w:t>
            </w:r>
          </w:p>
          <w:p w14:paraId="07355D7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区财政局</w:t>
            </w:r>
          </w:p>
          <w:p w14:paraId="6BF12F37">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区农业农村和水利局</w:t>
            </w:r>
          </w:p>
          <w:p w14:paraId="579A3AF0">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区城市管理和综合执法局</w:t>
            </w:r>
          </w:p>
          <w:p w14:paraId="59C71641">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区司法局</w:t>
            </w:r>
          </w:p>
          <w:p w14:paraId="73D9A35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棠下镇</w:t>
            </w:r>
          </w:p>
          <w:p w14:paraId="4B80E4A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荷塘镇</w:t>
            </w:r>
          </w:p>
          <w:p w14:paraId="04E7538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杜阮镇</w:t>
            </w:r>
          </w:p>
          <w:p w14:paraId="6F624B4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潮连街</w:t>
            </w:r>
          </w:p>
        </w:tc>
        <w:tc>
          <w:tcPr>
            <w:tcW w:w="7198" w:type="dxa"/>
            <w:vAlign w:val="center"/>
          </w:tcPr>
          <w:p w14:paraId="3CCE163B">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1A80B19C">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1.示范路乐公线、棠良线、杜叱线已建成，成为当地一道美丽的风景线。</w:t>
            </w:r>
          </w:p>
          <w:p w14:paraId="6C34AE2B">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2.各镇、街的道路绿化项目及村道道路维修项目已完工。</w:t>
            </w:r>
          </w:p>
          <w:p w14:paraId="051F3328">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3.辖区内所有自然村均已通达公路。</w:t>
            </w:r>
          </w:p>
          <w:p w14:paraId="519E1DF5">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4.东堤路正在进行水泥主线混凝土路面板860米半幅施工，旧路修补1200平方米，绿化工程及交通安全设施施工工作。</w:t>
            </w:r>
          </w:p>
          <w:p w14:paraId="7618A28E">
            <w:pPr>
              <w:spacing w:line="28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5.棠下镇、杜阮镇的路面硬底化项目及荷塘镇的三坊桥正在大力建设推进中。</w:t>
            </w:r>
          </w:p>
          <w:p w14:paraId="01A396F0">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6.已于3月底向市交通运输局报送了《关于上报蓬江区创建“四好农村路”示范县申报材料的报告》及《广东省创建“四好农村路”示范县申报表》。</w:t>
            </w:r>
          </w:p>
        </w:tc>
      </w:tr>
      <w:tr w14:paraId="4BBA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9" w:hRule="atLeast"/>
          <w:jc w:val="center"/>
        </w:trPr>
        <w:tc>
          <w:tcPr>
            <w:tcW w:w="567" w:type="dxa"/>
            <w:vAlign w:val="center"/>
          </w:tcPr>
          <w:p w14:paraId="4BC4A529">
            <w:pPr>
              <w:numPr>
                <w:ilvl w:val="0"/>
                <w:numId w:val="3"/>
              </w:numPr>
              <w:spacing w:line="260" w:lineRule="exact"/>
              <w:rPr>
                <w:rFonts w:ascii="仿宋_GB2312" w:hAnsi="黑体" w:eastAsia="仿宋_GB2312" w:cs="仿宋_GB2312"/>
                <w:sz w:val="24"/>
                <w:szCs w:val="24"/>
              </w:rPr>
            </w:pPr>
          </w:p>
        </w:tc>
        <w:tc>
          <w:tcPr>
            <w:tcW w:w="992" w:type="dxa"/>
            <w:vAlign w:val="center"/>
          </w:tcPr>
          <w:p w14:paraId="5125013D">
            <w:pPr>
              <w:spacing w:line="260" w:lineRule="exact"/>
              <w:rPr>
                <w:rFonts w:ascii="黑体" w:hAnsi="黑体" w:eastAsia="黑体" w:cs="Times New Roman"/>
                <w:sz w:val="24"/>
                <w:szCs w:val="24"/>
              </w:rPr>
            </w:pPr>
            <w:r>
              <w:rPr>
                <w:rFonts w:hint="eastAsia" w:ascii="黑体" w:hAnsi="黑体" w:eastAsia="黑体" w:cs="Times New Roman"/>
                <w:sz w:val="24"/>
                <w:szCs w:val="24"/>
              </w:rPr>
              <w:t>九、加大政务便民服务力度</w:t>
            </w:r>
          </w:p>
        </w:tc>
        <w:tc>
          <w:tcPr>
            <w:tcW w:w="2410" w:type="dxa"/>
            <w:vAlign w:val="center"/>
          </w:tcPr>
          <w:p w14:paraId="78E1F3D5">
            <w:pPr>
              <w:spacing w:line="250" w:lineRule="exact"/>
              <w:rPr>
                <w:rFonts w:ascii="仿宋_GB2312" w:hAnsi="宋体" w:eastAsia="仿宋_GB2312" w:cs="Times New Roman"/>
                <w:sz w:val="24"/>
                <w:szCs w:val="24"/>
              </w:rPr>
            </w:pPr>
            <w:r>
              <w:rPr>
                <w:rFonts w:hint="eastAsia" w:ascii="仿宋_GB2312" w:hAnsi="宋体" w:eastAsia="仿宋_GB2312" w:cs="Times New Roman"/>
                <w:sz w:val="24"/>
                <w:szCs w:val="24"/>
              </w:rPr>
              <w:t>实施“数字政府”综合改革，拓展“一网通办”和“一窗通办”，推进“马上办、网上办、就近办、一次办”的“四办”便民服务。依托法人一门式服务平台，进一步整合涉税业务，提高企业开办便利度。进一步丰富“十分钟便民便企服务圈”，向下推动更多政务服务向镇（街）、村（社区）一级延伸，优化“侨都之窗”政务服务自助终端布点；向上不断拓展，争取更多市、省级部门支持，实现上级审批事项“受理前移、联网审批”，让本区群众不出区就能办所有事。</w:t>
            </w:r>
            <w:r>
              <w:rPr>
                <w:rFonts w:hint="eastAsia" w:ascii="仿宋_GB2312" w:hAnsi="宋体" w:eastAsia="仿宋_GB2312"/>
                <w:b/>
                <w:sz w:val="24"/>
                <w:szCs w:val="24"/>
              </w:rPr>
              <w:t>（牵头单位：区政务服务数据管理局）</w:t>
            </w:r>
          </w:p>
        </w:tc>
        <w:tc>
          <w:tcPr>
            <w:tcW w:w="1134" w:type="dxa"/>
            <w:vAlign w:val="center"/>
          </w:tcPr>
          <w:p w14:paraId="609F3DC2">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黄达斌</w:t>
            </w:r>
          </w:p>
        </w:tc>
        <w:tc>
          <w:tcPr>
            <w:tcW w:w="3119" w:type="dxa"/>
            <w:vAlign w:val="center"/>
          </w:tcPr>
          <w:p w14:paraId="11F4BC5F">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区政务服务数据管理局</w:t>
            </w:r>
          </w:p>
          <w:p w14:paraId="353DCD37">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区市场监督管理局</w:t>
            </w:r>
          </w:p>
          <w:p w14:paraId="097481A8">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区税务局</w:t>
            </w:r>
          </w:p>
        </w:tc>
        <w:tc>
          <w:tcPr>
            <w:tcW w:w="7198" w:type="dxa"/>
            <w:vAlign w:val="center"/>
          </w:tcPr>
          <w:p w14:paraId="5294DC6F">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按时间进度完成。</w:t>
            </w:r>
          </w:p>
          <w:p w14:paraId="4B5B0784">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1.按照《印发江门市开办企业压缩至1个工作日示范点建设工作实施方案的通知》（江商改办〔2019〕4号）要求，印发《蓬江区开办企业压缩至1个工作日示范点建设实施方案》，开展新开业企业税务“套餐式”服务。</w:t>
            </w:r>
          </w:p>
          <w:p w14:paraId="500BD36E">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2.“侨都之窗”自助终端已在区法人一门式服务中心及各镇（街）公共服务中心实现全覆盖铺设。从服务群众就近办、马上办的角度出发，在人流密集的商业综合体万达广场、汇悦城或业务需求较多的医疗机构，如江门市第二人民医院、蓬江区中西医结合医院和镇卫生院，及贴近群众的政府服务机构法律援助处等推广使用。目前，区共铺设“侨都之窗”150台。截至3月底，区“侨都之窗”共处理业务3.37万件。</w:t>
            </w:r>
          </w:p>
        </w:tc>
      </w:tr>
      <w:tr w14:paraId="7615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567" w:type="dxa"/>
            <w:vAlign w:val="center"/>
          </w:tcPr>
          <w:p w14:paraId="7C29B5D0">
            <w:pPr>
              <w:numPr>
                <w:ilvl w:val="0"/>
                <w:numId w:val="3"/>
              </w:numPr>
              <w:spacing w:line="260" w:lineRule="exact"/>
              <w:rPr>
                <w:rFonts w:ascii="仿宋_GB2312" w:hAnsi="黑体" w:eastAsia="仿宋_GB2312" w:cs="仿宋_GB2312"/>
                <w:sz w:val="24"/>
                <w:szCs w:val="24"/>
              </w:rPr>
            </w:pPr>
          </w:p>
        </w:tc>
        <w:tc>
          <w:tcPr>
            <w:tcW w:w="992" w:type="dxa"/>
            <w:vMerge w:val="restart"/>
            <w:vAlign w:val="center"/>
          </w:tcPr>
          <w:p w14:paraId="63DF3772">
            <w:pPr>
              <w:spacing w:line="260" w:lineRule="exact"/>
              <w:rPr>
                <w:rFonts w:ascii="黑体" w:hAnsi="黑体" w:eastAsia="黑体" w:cs="Times New Roman"/>
                <w:sz w:val="24"/>
                <w:szCs w:val="24"/>
              </w:rPr>
            </w:pPr>
            <w:r>
              <w:rPr>
                <w:rFonts w:hint="eastAsia" w:ascii="黑体" w:hAnsi="黑体" w:eastAsia="黑体" w:cs="Times New Roman"/>
                <w:sz w:val="24"/>
                <w:szCs w:val="24"/>
              </w:rPr>
              <w:t>十、大力推进“厕所革命”</w:t>
            </w:r>
          </w:p>
        </w:tc>
        <w:tc>
          <w:tcPr>
            <w:tcW w:w="2410" w:type="dxa"/>
            <w:vAlign w:val="center"/>
          </w:tcPr>
          <w:p w14:paraId="0E3C3593">
            <w:pPr>
              <w:spacing w:line="260" w:lineRule="exact"/>
              <w:rPr>
                <w:rFonts w:ascii="仿宋_GB2312" w:hAnsi="宋体" w:eastAsia="仿宋_GB2312" w:cs="Times New Roman"/>
                <w:sz w:val="24"/>
                <w:szCs w:val="24"/>
              </w:rPr>
            </w:pPr>
            <w:r>
              <w:rPr>
                <w:rFonts w:hint="eastAsia" w:ascii="仿宋_GB2312" w:hAnsi="宋体" w:eastAsia="仿宋_GB2312" w:cs="Times New Roman"/>
                <w:sz w:val="24"/>
                <w:szCs w:val="24"/>
              </w:rPr>
              <w:t>加快老城区公厕建设，不断提升城市公厕服务管理水平，新建和提升改造城市公厕38座。</w:t>
            </w:r>
            <w:r>
              <w:rPr>
                <w:rFonts w:hint="eastAsia" w:ascii="仿宋_GB2312" w:hAnsi="宋体" w:eastAsia="仿宋_GB2312"/>
                <w:b/>
                <w:sz w:val="24"/>
                <w:szCs w:val="24"/>
              </w:rPr>
              <w:t>（牵头单位：区环卫局）</w:t>
            </w:r>
          </w:p>
        </w:tc>
        <w:tc>
          <w:tcPr>
            <w:tcW w:w="1134" w:type="dxa"/>
            <w:vAlign w:val="center"/>
          </w:tcPr>
          <w:p w14:paraId="12AC6F83">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关志钒</w:t>
            </w:r>
          </w:p>
        </w:tc>
        <w:tc>
          <w:tcPr>
            <w:tcW w:w="3119" w:type="dxa"/>
            <w:vAlign w:val="center"/>
          </w:tcPr>
          <w:p w14:paraId="5260DEC9">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区环卫局</w:t>
            </w:r>
          </w:p>
        </w:tc>
        <w:tc>
          <w:tcPr>
            <w:tcW w:w="7198" w:type="dxa"/>
            <w:vAlign w:val="center"/>
          </w:tcPr>
          <w:p w14:paraId="139B8E5C">
            <w:pPr>
              <w:spacing w:line="300" w:lineRule="exact"/>
              <w:ind w:firstLine="482" w:firstLineChars="200"/>
              <w:rPr>
                <w:rFonts w:ascii="仿宋_GB2312" w:hAnsi="黑体" w:eastAsia="仿宋_GB2312" w:cs="Times New Roman"/>
                <w:sz w:val="24"/>
                <w:szCs w:val="24"/>
              </w:rPr>
            </w:pPr>
            <w:r>
              <w:rPr>
                <w:rFonts w:hint="eastAsia" w:ascii="仿宋_GB2312" w:hAnsi="黑体" w:eastAsia="仿宋_GB2312" w:cs="Times New Roman"/>
                <w:b/>
                <w:sz w:val="24"/>
                <w:szCs w:val="24"/>
              </w:rPr>
              <w:t>按时间进度完成。</w:t>
            </w:r>
          </w:p>
          <w:p w14:paraId="00C952E6">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二期厕所改造工程现有9座正在施工，其中7座处于拆旧阶段，2座正在砌墙和批灰。</w:t>
            </w:r>
          </w:p>
        </w:tc>
      </w:tr>
      <w:tr w14:paraId="0DF5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567" w:type="dxa"/>
            <w:vAlign w:val="center"/>
          </w:tcPr>
          <w:p w14:paraId="3210E712">
            <w:pPr>
              <w:numPr>
                <w:ilvl w:val="0"/>
                <w:numId w:val="3"/>
              </w:numPr>
              <w:spacing w:line="260" w:lineRule="exact"/>
              <w:rPr>
                <w:rFonts w:ascii="仿宋_GB2312" w:hAnsi="黑体" w:eastAsia="仿宋_GB2312" w:cs="仿宋_GB2312"/>
                <w:sz w:val="24"/>
                <w:szCs w:val="24"/>
              </w:rPr>
            </w:pPr>
          </w:p>
        </w:tc>
        <w:tc>
          <w:tcPr>
            <w:tcW w:w="992" w:type="dxa"/>
            <w:vMerge w:val="continue"/>
            <w:vAlign w:val="center"/>
          </w:tcPr>
          <w:p w14:paraId="7F8DDB7F">
            <w:pPr>
              <w:spacing w:line="260" w:lineRule="exact"/>
              <w:rPr>
                <w:rFonts w:ascii="黑体" w:hAnsi="黑体" w:eastAsia="黑体" w:cs="Times New Roman"/>
                <w:sz w:val="24"/>
                <w:szCs w:val="24"/>
              </w:rPr>
            </w:pPr>
          </w:p>
        </w:tc>
        <w:tc>
          <w:tcPr>
            <w:tcW w:w="2410" w:type="dxa"/>
            <w:vAlign w:val="center"/>
          </w:tcPr>
          <w:p w14:paraId="2F216DF0">
            <w:pPr>
              <w:spacing w:line="260" w:lineRule="exact"/>
              <w:rPr>
                <w:rFonts w:ascii="仿宋_GB2312" w:hAnsi="宋体" w:eastAsia="仿宋_GB2312" w:cs="Times New Roman"/>
                <w:sz w:val="24"/>
                <w:szCs w:val="24"/>
                <w:highlight w:val="yellow"/>
              </w:rPr>
            </w:pPr>
            <w:r>
              <w:rPr>
                <w:rFonts w:hint="eastAsia" w:ascii="仿宋_GB2312" w:hAnsi="宋体" w:eastAsia="仿宋_GB2312" w:cs="Times New Roman"/>
                <w:sz w:val="24"/>
                <w:szCs w:val="24"/>
              </w:rPr>
              <w:t>新建和提升改造乡村公厕12座。</w:t>
            </w:r>
            <w:r>
              <w:rPr>
                <w:rFonts w:hint="eastAsia" w:ascii="仿宋_GB2312" w:hAnsi="宋体" w:eastAsia="仿宋_GB2312"/>
                <w:b/>
                <w:sz w:val="24"/>
                <w:szCs w:val="24"/>
              </w:rPr>
              <w:t>（牵头单位：区农业农村和水利局）</w:t>
            </w:r>
          </w:p>
        </w:tc>
        <w:tc>
          <w:tcPr>
            <w:tcW w:w="1134" w:type="dxa"/>
            <w:vAlign w:val="center"/>
          </w:tcPr>
          <w:p w14:paraId="6545E4D5">
            <w:pPr>
              <w:spacing w:line="3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王建新</w:t>
            </w:r>
          </w:p>
        </w:tc>
        <w:tc>
          <w:tcPr>
            <w:tcW w:w="3119" w:type="dxa"/>
            <w:vAlign w:val="center"/>
          </w:tcPr>
          <w:p w14:paraId="112EFF07">
            <w:pPr>
              <w:spacing w:line="300" w:lineRule="exact"/>
              <w:ind w:left="-107" w:leftChars="-51" w:right="-82" w:rightChars="-39"/>
              <w:jc w:val="center"/>
              <w:rPr>
                <w:rFonts w:ascii="仿宋_GB2312" w:hAnsi="黑体" w:eastAsia="仿宋_GB2312" w:cs="Times New Roman"/>
                <w:sz w:val="24"/>
                <w:szCs w:val="24"/>
              </w:rPr>
            </w:pPr>
            <w:r>
              <w:rPr>
                <w:rFonts w:hint="eastAsia" w:ascii="仿宋_GB2312" w:hAnsi="黑体" w:eastAsia="仿宋_GB2312" w:cs="Times New Roman"/>
                <w:sz w:val="24"/>
                <w:szCs w:val="24"/>
              </w:rPr>
              <w:t>区农业农村和水利局</w:t>
            </w:r>
          </w:p>
        </w:tc>
        <w:tc>
          <w:tcPr>
            <w:tcW w:w="7198" w:type="dxa"/>
            <w:vAlign w:val="center"/>
          </w:tcPr>
          <w:p w14:paraId="7F7E6D54">
            <w:pPr>
              <w:spacing w:line="280" w:lineRule="exact"/>
              <w:ind w:firstLine="482" w:firstLineChars="200"/>
              <w:rPr>
                <w:rFonts w:ascii="仿宋_GB2312" w:hAnsi="黑体" w:eastAsia="仿宋_GB2312" w:cs="Times New Roman"/>
                <w:b/>
                <w:sz w:val="24"/>
                <w:szCs w:val="24"/>
              </w:rPr>
            </w:pPr>
            <w:r>
              <w:rPr>
                <w:rFonts w:hint="eastAsia" w:ascii="仿宋_GB2312" w:hAnsi="黑体" w:eastAsia="仿宋_GB2312" w:cs="Times New Roman"/>
                <w:b/>
                <w:sz w:val="24"/>
                <w:szCs w:val="24"/>
              </w:rPr>
              <w:t>已完成。</w:t>
            </w:r>
          </w:p>
          <w:p w14:paraId="46CC282C">
            <w:pPr>
              <w:spacing w:line="300" w:lineRule="exact"/>
              <w:ind w:firstLine="480" w:firstLineChars="200"/>
              <w:rPr>
                <w:rFonts w:ascii="仿宋_GB2312" w:hAnsi="黑体" w:eastAsia="仿宋_GB2312" w:cs="Times New Roman"/>
                <w:sz w:val="24"/>
                <w:szCs w:val="24"/>
              </w:rPr>
            </w:pPr>
            <w:r>
              <w:rPr>
                <w:rFonts w:hint="eastAsia" w:ascii="仿宋_GB2312" w:hAnsi="黑体" w:eastAsia="仿宋_GB2312" w:cs="Times New Roman"/>
                <w:sz w:val="24"/>
                <w:szCs w:val="24"/>
              </w:rPr>
              <w:t>已完成12座乡村公厕建设工作，共投入313万元。</w:t>
            </w:r>
          </w:p>
        </w:tc>
      </w:tr>
    </w:tbl>
    <w:p w14:paraId="7EE28DC5">
      <w:pPr>
        <w:spacing w:line="160" w:lineRule="exact"/>
        <w:rPr>
          <w:rFonts w:ascii="仿宋_GB2312" w:hAnsi="宋体" w:eastAsia="仿宋_GB2312" w:cs="Times New Roman"/>
          <w:sz w:val="28"/>
          <w:szCs w:val="28"/>
        </w:rPr>
      </w:pPr>
    </w:p>
    <w:p w14:paraId="3B6BA211">
      <w:pPr>
        <w:spacing w:line="300" w:lineRule="exact"/>
        <w:rPr>
          <w:rFonts w:ascii="仿宋_GB2312" w:hAnsi="宋体" w:eastAsia="仿宋_GB2312" w:cs="仿宋_GB2312"/>
          <w:sz w:val="28"/>
          <w:szCs w:val="28"/>
        </w:rPr>
      </w:pPr>
      <w:r>
        <w:rPr>
          <w:rFonts w:hint="eastAsia" w:ascii="仿宋_GB2312" w:hAnsi="宋体" w:eastAsia="仿宋_GB2312" w:cs="仿宋_GB2312"/>
          <w:sz w:val="28"/>
          <w:szCs w:val="28"/>
        </w:rPr>
        <w:t>说明：1.同一项目有多个责任单位的，排首单位为牵头责任单位并负责报送工作进展情况。</w:t>
      </w:r>
    </w:p>
    <w:p w14:paraId="130D39DE">
      <w:pPr>
        <w:spacing w:line="300" w:lineRule="exact"/>
        <w:ind w:firstLine="840" w:firstLineChars="300"/>
        <w:rPr>
          <w:rFonts w:ascii="仿宋_GB2312" w:hAnsi="宋体" w:eastAsia="仿宋_GB2312" w:cs="仿宋_GB2312"/>
          <w:sz w:val="28"/>
          <w:szCs w:val="28"/>
        </w:rPr>
      </w:pPr>
      <w:r>
        <w:rPr>
          <w:rFonts w:hint="eastAsia" w:ascii="仿宋_GB2312" w:hAnsi="宋体" w:eastAsia="仿宋_GB2312" w:cs="仿宋_GB2312"/>
          <w:sz w:val="28"/>
          <w:szCs w:val="28"/>
        </w:rPr>
        <w:t>2.区主要指标、市重点项目由区发改局具体牵头督办；区民生实事由区政府办公室社会事务股具体牵头督办。</w:t>
      </w:r>
    </w:p>
    <w:p w14:paraId="3F897A51">
      <w:pPr>
        <w:widowControl/>
        <w:jc w:val="left"/>
        <w:rPr>
          <w:rFonts w:ascii="仿宋_GB2312" w:hAnsi="宋体" w:eastAsia="仿宋_GB2312" w:cs="仿宋_GB2312"/>
          <w:sz w:val="28"/>
          <w:szCs w:val="28"/>
        </w:rPr>
      </w:pPr>
    </w:p>
    <w:sectPr>
      <w:pgSz w:w="16838" w:h="11906" w:orient="landscape"/>
      <w:pgMar w:top="1134" w:right="1134" w:bottom="1134" w:left="1134"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838037"/>
      <w:docPartObj>
        <w:docPartGallery w:val="AutoText"/>
      </w:docPartObj>
    </w:sdtPr>
    <w:sdtEndPr>
      <w:rPr>
        <w:rFonts w:ascii="Times New Roman" w:hAnsi="Times New Roman" w:cs="Times New Roman"/>
        <w:sz w:val="24"/>
        <w:szCs w:val="24"/>
      </w:rPr>
    </w:sdtEndPr>
    <w:sdtContent>
      <w:p w14:paraId="7CA5CB1D">
        <w:pPr>
          <w:pStyle w:val="12"/>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51 -</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8969168"/>
      <w:docPartObj>
        <w:docPartGallery w:val="AutoText"/>
      </w:docPartObj>
    </w:sdtPr>
    <w:sdtEndPr>
      <w:rPr>
        <w:rFonts w:ascii="Times New Roman" w:hAnsi="Times New Roman" w:cs="Times New Roman"/>
        <w:sz w:val="24"/>
        <w:szCs w:val="24"/>
      </w:rPr>
    </w:sdtEndPr>
    <w:sdtContent>
      <w:p w14:paraId="035B535C">
        <w:pPr>
          <w:pStyle w:val="12"/>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52 -</w:t>
        </w:r>
        <w:r>
          <w:rPr>
            <w:rFonts w:ascii="Times New Roman" w:hAnsi="Times New Roman" w:cs="Times New Roman"/>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D7C66"/>
    <w:multiLevelType w:val="multilevel"/>
    <w:tmpl w:val="2BDD7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B317E5"/>
    <w:multiLevelType w:val="multilevel"/>
    <w:tmpl w:val="54B317E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626C52"/>
    <w:multiLevelType w:val="multilevel"/>
    <w:tmpl w:val="60626C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30"/>
    <w:rsid w:val="00002F3B"/>
    <w:rsid w:val="00014485"/>
    <w:rsid w:val="00015076"/>
    <w:rsid w:val="00015981"/>
    <w:rsid w:val="00017E3D"/>
    <w:rsid w:val="00017E65"/>
    <w:rsid w:val="00020AF1"/>
    <w:rsid w:val="000257F7"/>
    <w:rsid w:val="000269CC"/>
    <w:rsid w:val="0003019C"/>
    <w:rsid w:val="00030D6A"/>
    <w:rsid w:val="00033DE1"/>
    <w:rsid w:val="0004093A"/>
    <w:rsid w:val="000416BA"/>
    <w:rsid w:val="00042F7D"/>
    <w:rsid w:val="00043A9F"/>
    <w:rsid w:val="00047941"/>
    <w:rsid w:val="0005248B"/>
    <w:rsid w:val="000526BD"/>
    <w:rsid w:val="00060874"/>
    <w:rsid w:val="0006144E"/>
    <w:rsid w:val="000619E9"/>
    <w:rsid w:val="00071B6F"/>
    <w:rsid w:val="00071F88"/>
    <w:rsid w:val="000737B5"/>
    <w:rsid w:val="00083206"/>
    <w:rsid w:val="00084B99"/>
    <w:rsid w:val="00085B3B"/>
    <w:rsid w:val="00087F27"/>
    <w:rsid w:val="00090462"/>
    <w:rsid w:val="00095DC2"/>
    <w:rsid w:val="000975B0"/>
    <w:rsid w:val="000A0712"/>
    <w:rsid w:val="000A17FC"/>
    <w:rsid w:val="000A1992"/>
    <w:rsid w:val="000A1DAE"/>
    <w:rsid w:val="000A1F4D"/>
    <w:rsid w:val="000A46B5"/>
    <w:rsid w:val="000A4B04"/>
    <w:rsid w:val="000B2B34"/>
    <w:rsid w:val="000B2E6A"/>
    <w:rsid w:val="000B3904"/>
    <w:rsid w:val="000B7B9D"/>
    <w:rsid w:val="000C0571"/>
    <w:rsid w:val="000C68B6"/>
    <w:rsid w:val="000D2172"/>
    <w:rsid w:val="000E30EC"/>
    <w:rsid w:val="000E39B8"/>
    <w:rsid w:val="000E51F8"/>
    <w:rsid w:val="000F3017"/>
    <w:rsid w:val="000F456F"/>
    <w:rsid w:val="000F5BB6"/>
    <w:rsid w:val="000F6B91"/>
    <w:rsid w:val="000F7D9C"/>
    <w:rsid w:val="00100A89"/>
    <w:rsid w:val="00103219"/>
    <w:rsid w:val="00111CF1"/>
    <w:rsid w:val="00112F84"/>
    <w:rsid w:val="00120210"/>
    <w:rsid w:val="00120F76"/>
    <w:rsid w:val="001220E0"/>
    <w:rsid w:val="0012509A"/>
    <w:rsid w:val="00125777"/>
    <w:rsid w:val="001262F9"/>
    <w:rsid w:val="00127A3F"/>
    <w:rsid w:val="001302D3"/>
    <w:rsid w:val="001339BD"/>
    <w:rsid w:val="00134410"/>
    <w:rsid w:val="001352ED"/>
    <w:rsid w:val="0013562E"/>
    <w:rsid w:val="00136738"/>
    <w:rsid w:val="0013729A"/>
    <w:rsid w:val="00137AB3"/>
    <w:rsid w:val="00140503"/>
    <w:rsid w:val="00140678"/>
    <w:rsid w:val="00143493"/>
    <w:rsid w:val="0015069B"/>
    <w:rsid w:val="0015127A"/>
    <w:rsid w:val="00152860"/>
    <w:rsid w:val="001568F4"/>
    <w:rsid w:val="001604B7"/>
    <w:rsid w:val="001623DC"/>
    <w:rsid w:val="00162879"/>
    <w:rsid w:val="00163C8A"/>
    <w:rsid w:val="001738E7"/>
    <w:rsid w:val="001761D8"/>
    <w:rsid w:val="0017769A"/>
    <w:rsid w:val="00181166"/>
    <w:rsid w:val="00181FE0"/>
    <w:rsid w:val="00182129"/>
    <w:rsid w:val="00182130"/>
    <w:rsid w:val="0018360E"/>
    <w:rsid w:val="001845BD"/>
    <w:rsid w:val="001860DD"/>
    <w:rsid w:val="00190F89"/>
    <w:rsid w:val="0019220A"/>
    <w:rsid w:val="00193436"/>
    <w:rsid w:val="001936B7"/>
    <w:rsid w:val="001B1285"/>
    <w:rsid w:val="001B17D1"/>
    <w:rsid w:val="001C522D"/>
    <w:rsid w:val="001D323A"/>
    <w:rsid w:val="001D4F8E"/>
    <w:rsid w:val="001D7206"/>
    <w:rsid w:val="001E06AE"/>
    <w:rsid w:val="001E46B2"/>
    <w:rsid w:val="001E5631"/>
    <w:rsid w:val="001E73DF"/>
    <w:rsid w:val="001F2428"/>
    <w:rsid w:val="001F3019"/>
    <w:rsid w:val="001F439B"/>
    <w:rsid w:val="001F6D2B"/>
    <w:rsid w:val="00202DD5"/>
    <w:rsid w:val="00206DCE"/>
    <w:rsid w:val="00211FD0"/>
    <w:rsid w:val="00217ACA"/>
    <w:rsid w:val="00222AF2"/>
    <w:rsid w:val="00225329"/>
    <w:rsid w:val="00231A2E"/>
    <w:rsid w:val="00232E2D"/>
    <w:rsid w:val="00234F5F"/>
    <w:rsid w:val="00236C56"/>
    <w:rsid w:val="0024214E"/>
    <w:rsid w:val="002422FE"/>
    <w:rsid w:val="00242D0A"/>
    <w:rsid w:val="00244B2C"/>
    <w:rsid w:val="0024568B"/>
    <w:rsid w:val="00245C83"/>
    <w:rsid w:val="00255F0D"/>
    <w:rsid w:val="0025766A"/>
    <w:rsid w:val="00257FCF"/>
    <w:rsid w:val="00260440"/>
    <w:rsid w:val="0026153D"/>
    <w:rsid w:val="002616D7"/>
    <w:rsid w:val="00262848"/>
    <w:rsid w:val="002774EF"/>
    <w:rsid w:val="0028189E"/>
    <w:rsid w:val="0028373B"/>
    <w:rsid w:val="00284C40"/>
    <w:rsid w:val="0028613B"/>
    <w:rsid w:val="00291164"/>
    <w:rsid w:val="0029130B"/>
    <w:rsid w:val="002933B2"/>
    <w:rsid w:val="0029535B"/>
    <w:rsid w:val="0029614A"/>
    <w:rsid w:val="00297630"/>
    <w:rsid w:val="00297DFA"/>
    <w:rsid w:val="002A3FB3"/>
    <w:rsid w:val="002A48AC"/>
    <w:rsid w:val="002A7AC3"/>
    <w:rsid w:val="002B0130"/>
    <w:rsid w:val="002B152F"/>
    <w:rsid w:val="002C4646"/>
    <w:rsid w:val="002C70EC"/>
    <w:rsid w:val="002D159E"/>
    <w:rsid w:val="002D30BB"/>
    <w:rsid w:val="002D44F5"/>
    <w:rsid w:val="002D4E61"/>
    <w:rsid w:val="002E4CE0"/>
    <w:rsid w:val="002E5265"/>
    <w:rsid w:val="002F00F6"/>
    <w:rsid w:val="002F147D"/>
    <w:rsid w:val="002F2731"/>
    <w:rsid w:val="002F6A41"/>
    <w:rsid w:val="002F6D46"/>
    <w:rsid w:val="003020EC"/>
    <w:rsid w:val="00305263"/>
    <w:rsid w:val="003078F6"/>
    <w:rsid w:val="003107F4"/>
    <w:rsid w:val="00316559"/>
    <w:rsid w:val="003211AC"/>
    <w:rsid w:val="00322DFD"/>
    <w:rsid w:val="0032362F"/>
    <w:rsid w:val="00323B13"/>
    <w:rsid w:val="003250B5"/>
    <w:rsid w:val="0033214E"/>
    <w:rsid w:val="00335092"/>
    <w:rsid w:val="003401E8"/>
    <w:rsid w:val="0034185F"/>
    <w:rsid w:val="00345163"/>
    <w:rsid w:val="00346BC0"/>
    <w:rsid w:val="003506DB"/>
    <w:rsid w:val="00350D4A"/>
    <w:rsid w:val="00353256"/>
    <w:rsid w:val="00356E42"/>
    <w:rsid w:val="003616AA"/>
    <w:rsid w:val="00361DBD"/>
    <w:rsid w:val="00361F29"/>
    <w:rsid w:val="00365615"/>
    <w:rsid w:val="00366D55"/>
    <w:rsid w:val="00367B32"/>
    <w:rsid w:val="00370728"/>
    <w:rsid w:val="0037715D"/>
    <w:rsid w:val="00380051"/>
    <w:rsid w:val="00383CD9"/>
    <w:rsid w:val="00386A98"/>
    <w:rsid w:val="00387DB6"/>
    <w:rsid w:val="00390412"/>
    <w:rsid w:val="00394E48"/>
    <w:rsid w:val="003968CB"/>
    <w:rsid w:val="003A08A2"/>
    <w:rsid w:val="003A6D93"/>
    <w:rsid w:val="003B2DC1"/>
    <w:rsid w:val="003B539D"/>
    <w:rsid w:val="003B68FA"/>
    <w:rsid w:val="003C1A0E"/>
    <w:rsid w:val="003D34E2"/>
    <w:rsid w:val="003D42EC"/>
    <w:rsid w:val="003D52FD"/>
    <w:rsid w:val="003E04A6"/>
    <w:rsid w:val="003E6ACB"/>
    <w:rsid w:val="003F063B"/>
    <w:rsid w:val="003F2A29"/>
    <w:rsid w:val="003F3F9C"/>
    <w:rsid w:val="00402294"/>
    <w:rsid w:val="00402733"/>
    <w:rsid w:val="00403319"/>
    <w:rsid w:val="00407839"/>
    <w:rsid w:val="00410E45"/>
    <w:rsid w:val="004201CD"/>
    <w:rsid w:val="00421CFE"/>
    <w:rsid w:val="0042775A"/>
    <w:rsid w:val="0043200B"/>
    <w:rsid w:val="00433612"/>
    <w:rsid w:val="00433F03"/>
    <w:rsid w:val="004359D7"/>
    <w:rsid w:val="004360C9"/>
    <w:rsid w:val="00437D7C"/>
    <w:rsid w:val="00441C37"/>
    <w:rsid w:val="00443219"/>
    <w:rsid w:val="00443619"/>
    <w:rsid w:val="00444EF8"/>
    <w:rsid w:val="00450A9F"/>
    <w:rsid w:val="00453BA5"/>
    <w:rsid w:val="00454E2A"/>
    <w:rsid w:val="00464097"/>
    <w:rsid w:val="00465984"/>
    <w:rsid w:val="004712D1"/>
    <w:rsid w:val="00472A04"/>
    <w:rsid w:val="00485376"/>
    <w:rsid w:val="00485534"/>
    <w:rsid w:val="004919D7"/>
    <w:rsid w:val="00495C26"/>
    <w:rsid w:val="00495F61"/>
    <w:rsid w:val="00497583"/>
    <w:rsid w:val="004A04E5"/>
    <w:rsid w:val="004A6084"/>
    <w:rsid w:val="004A764C"/>
    <w:rsid w:val="004B0513"/>
    <w:rsid w:val="004B4965"/>
    <w:rsid w:val="004B693F"/>
    <w:rsid w:val="004C1477"/>
    <w:rsid w:val="004C1FA1"/>
    <w:rsid w:val="004C3C30"/>
    <w:rsid w:val="004C4613"/>
    <w:rsid w:val="004C5222"/>
    <w:rsid w:val="004C6101"/>
    <w:rsid w:val="004D0FDF"/>
    <w:rsid w:val="004D23C9"/>
    <w:rsid w:val="004D6E8F"/>
    <w:rsid w:val="004E0A64"/>
    <w:rsid w:val="004E63E6"/>
    <w:rsid w:val="004E7E38"/>
    <w:rsid w:val="004F14DC"/>
    <w:rsid w:val="004F4817"/>
    <w:rsid w:val="004F5870"/>
    <w:rsid w:val="004F61CC"/>
    <w:rsid w:val="0050089A"/>
    <w:rsid w:val="0050291E"/>
    <w:rsid w:val="00502D37"/>
    <w:rsid w:val="00505FCD"/>
    <w:rsid w:val="005068EB"/>
    <w:rsid w:val="005071A8"/>
    <w:rsid w:val="00510A69"/>
    <w:rsid w:val="00510F45"/>
    <w:rsid w:val="0051223E"/>
    <w:rsid w:val="0051242E"/>
    <w:rsid w:val="00516F61"/>
    <w:rsid w:val="00520DB9"/>
    <w:rsid w:val="0052594F"/>
    <w:rsid w:val="00530093"/>
    <w:rsid w:val="005344DF"/>
    <w:rsid w:val="0053555D"/>
    <w:rsid w:val="005365A5"/>
    <w:rsid w:val="00536E53"/>
    <w:rsid w:val="00536FC8"/>
    <w:rsid w:val="005419C7"/>
    <w:rsid w:val="005421C3"/>
    <w:rsid w:val="005441C9"/>
    <w:rsid w:val="00546655"/>
    <w:rsid w:val="005468BC"/>
    <w:rsid w:val="00547D40"/>
    <w:rsid w:val="00553FAE"/>
    <w:rsid w:val="005602EF"/>
    <w:rsid w:val="00560D65"/>
    <w:rsid w:val="00571390"/>
    <w:rsid w:val="0057480F"/>
    <w:rsid w:val="00574B70"/>
    <w:rsid w:val="0058566B"/>
    <w:rsid w:val="00585B15"/>
    <w:rsid w:val="00585C19"/>
    <w:rsid w:val="00586A96"/>
    <w:rsid w:val="0059181D"/>
    <w:rsid w:val="00595D79"/>
    <w:rsid w:val="00595F0D"/>
    <w:rsid w:val="00597104"/>
    <w:rsid w:val="00597CF7"/>
    <w:rsid w:val="005A2C1F"/>
    <w:rsid w:val="005A4EE7"/>
    <w:rsid w:val="005B41D3"/>
    <w:rsid w:val="005B5AAD"/>
    <w:rsid w:val="005B6A20"/>
    <w:rsid w:val="005C3B37"/>
    <w:rsid w:val="005C72D1"/>
    <w:rsid w:val="005D0305"/>
    <w:rsid w:val="005D1C5A"/>
    <w:rsid w:val="005D2623"/>
    <w:rsid w:val="005D488F"/>
    <w:rsid w:val="005E35D5"/>
    <w:rsid w:val="005E6CD1"/>
    <w:rsid w:val="005E6D75"/>
    <w:rsid w:val="005F2D10"/>
    <w:rsid w:val="005F351C"/>
    <w:rsid w:val="005F6F32"/>
    <w:rsid w:val="005F75AE"/>
    <w:rsid w:val="005F7754"/>
    <w:rsid w:val="005F7C4F"/>
    <w:rsid w:val="00604EE6"/>
    <w:rsid w:val="006061A0"/>
    <w:rsid w:val="00611073"/>
    <w:rsid w:val="0061494D"/>
    <w:rsid w:val="00614F83"/>
    <w:rsid w:val="00617733"/>
    <w:rsid w:val="00620D86"/>
    <w:rsid w:val="00621D94"/>
    <w:rsid w:val="00623BBC"/>
    <w:rsid w:val="00626A85"/>
    <w:rsid w:val="00630ADA"/>
    <w:rsid w:val="00634235"/>
    <w:rsid w:val="0063539C"/>
    <w:rsid w:val="00636628"/>
    <w:rsid w:val="00642AE1"/>
    <w:rsid w:val="00642D51"/>
    <w:rsid w:val="0064502D"/>
    <w:rsid w:val="00647B88"/>
    <w:rsid w:val="006502F7"/>
    <w:rsid w:val="0065674B"/>
    <w:rsid w:val="006615FC"/>
    <w:rsid w:val="00661939"/>
    <w:rsid w:val="00662637"/>
    <w:rsid w:val="00662BF4"/>
    <w:rsid w:val="006671C9"/>
    <w:rsid w:val="00673494"/>
    <w:rsid w:val="00673C49"/>
    <w:rsid w:val="00677006"/>
    <w:rsid w:val="00683340"/>
    <w:rsid w:val="00685732"/>
    <w:rsid w:val="0068726B"/>
    <w:rsid w:val="00687FB6"/>
    <w:rsid w:val="00694F9E"/>
    <w:rsid w:val="00696161"/>
    <w:rsid w:val="006A4956"/>
    <w:rsid w:val="006B4535"/>
    <w:rsid w:val="006C0D88"/>
    <w:rsid w:val="006C13BD"/>
    <w:rsid w:val="006C3BB7"/>
    <w:rsid w:val="006C4EFF"/>
    <w:rsid w:val="006C50F4"/>
    <w:rsid w:val="006D0176"/>
    <w:rsid w:val="006D14C2"/>
    <w:rsid w:val="006D353B"/>
    <w:rsid w:val="006D3D86"/>
    <w:rsid w:val="006D6A30"/>
    <w:rsid w:val="006E46FB"/>
    <w:rsid w:val="006E653F"/>
    <w:rsid w:val="006E65F0"/>
    <w:rsid w:val="006E71E8"/>
    <w:rsid w:val="006E76EC"/>
    <w:rsid w:val="006F1A79"/>
    <w:rsid w:val="006F4236"/>
    <w:rsid w:val="006F5BB1"/>
    <w:rsid w:val="006F639B"/>
    <w:rsid w:val="006F726B"/>
    <w:rsid w:val="007002A1"/>
    <w:rsid w:val="0070670D"/>
    <w:rsid w:val="007074CE"/>
    <w:rsid w:val="00707E0A"/>
    <w:rsid w:val="007115DE"/>
    <w:rsid w:val="007245FD"/>
    <w:rsid w:val="007260F9"/>
    <w:rsid w:val="00730674"/>
    <w:rsid w:val="0073129F"/>
    <w:rsid w:val="00731CB7"/>
    <w:rsid w:val="007343CF"/>
    <w:rsid w:val="007345FC"/>
    <w:rsid w:val="00743C78"/>
    <w:rsid w:val="00745890"/>
    <w:rsid w:val="00747C14"/>
    <w:rsid w:val="007523CE"/>
    <w:rsid w:val="00753CD4"/>
    <w:rsid w:val="00755371"/>
    <w:rsid w:val="00755BC1"/>
    <w:rsid w:val="00757CCD"/>
    <w:rsid w:val="007614DD"/>
    <w:rsid w:val="00762892"/>
    <w:rsid w:val="007632EE"/>
    <w:rsid w:val="00763885"/>
    <w:rsid w:val="0076733F"/>
    <w:rsid w:val="00775638"/>
    <w:rsid w:val="00775DE6"/>
    <w:rsid w:val="00784528"/>
    <w:rsid w:val="00785000"/>
    <w:rsid w:val="00785802"/>
    <w:rsid w:val="00790424"/>
    <w:rsid w:val="00793558"/>
    <w:rsid w:val="00796238"/>
    <w:rsid w:val="00796240"/>
    <w:rsid w:val="007B186E"/>
    <w:rsid w:val="007B1FA4"/>
    <w:rsid w:val="007B35C6"/>
    <w:rsid w:val="007B46E3"/>
    <w:rsid w:val="007C0158"/>
    <w:rsid w:val="007C5A4E"/>
    <w:rsid w:val="007D1D71"/>
    <w:rsid w:val="007D23D9"/>
    <w:rsid w:val="007D328B"/>
    <w:rsid w:val="007D610D"/>
    <w:rsid w:val="007D738A"/>
    <w:rsid w:val="007E5AA3"/>
    <w:rsid w:val="007F0BA4"/>
    <w:rsid w:val="007F7446"/>
    <w:rsid w:val="007F7CA1"/>
    <w:rsid w:val="0080425C"/>
    <w:rsid w:val="00805044"/>
    <w:rsid w:val="00805F88"/>
    <w:rsid w:val="0080693C"/>
    <w:rsid w:val="00811A95"/>
    <w:rsid w:val="00813C72"/>
    <w:rsid w:val="008149E6"/>
    <w:rsid w:val="0081531D"/>
    <w:rsid w:val="00820E59"/>
    <w:rsid w:val="0082182D"/>
    <w:rsid w:val="00823480"/>
    <w:rsid w:val="00823ECA"/>
    <w:rsid w:val="00824AF0"/>
    <w:rsid w:val="00825CB8"/>
    <w:rsid w:val="00832558"/>
    <w:rsid w:val="00836E39"/>
    <w:rsid w:val="00837242"/>
    <w:rsid w:val="00840FD7"/>
    <w:rsid w:val="008414CB"/>
    <w:rsid w:val="008421CF"/>
    <w:rsid w:val="00845576"/>
    <w:rsid w:val="008470A1"/>
    <w:rsid w:val="00850CB4"/>
    <w:rsid w:val="00852080"/>
    <w:rsid w:val="008577B2"/>
    <w:rsid w:val="00860062"/>
    <w:rsid w:val="0086177D"/>
    <w:rsid w:val="008708E4"/>
    <w:rsid w:val="00873302"/>
    <w:rsid w:val="0087541E"/>
    <w:rsid w:val="0088098F"/>
    <w:rsid w:val="00887EF5"/>
    <w:rsid w:val="00890496"/>
    <w:rsid w:val="00890C30"/>
    <w:rsid w:val="008960AD"/>
    <w:rsid w:val="008A526D"/>
    <w:rsid w:val="008B089C"/>
    <w:rsid w:val="008B5091"/>
    <w:rsid w:val="008C024A"/>
    <w:rsid w:val="008C4ACB"/>
    <w:rsid w:val="008C6F42"/>
    <w:rsid w:val="008D27A6"/>
    <w:rsid w:val="008D52D4"/>
    <w:rsid w:val="008D6B9C"/>
    <w:rsid w:val="008E07B3"/>
    <w:rsid w:val="008E2491"/>
    <w:rsid w:val="008E6BF4"/>
    <w:rsid w:val="008F273C"/>
    <w:rsid w:val="00901563"/>
    <w:rsid w:val="009019C0"/>
    <w:rsid w:val="009030B1"/>
    <w:rsid w:val="00903204"/>
    <w:rsid w:val="0090575A"/>
    <w:rsid w:val="00910EBF"/>
    <w:rsid w:val="009120D4"/>
    <w:rsid w:val="00913122"/>
    <w:rsid w:val="00913A82"/>
    <w:rsid w:val="00913F71"/>
    <w:rsid w:val="009159E5"/>
    <w:rsid w:val="00916F78"/>
    <w:rsid w:val="0091737A"/>
    <w:rsid w:val="0091748D"/>
    <w:rsid w:val="009210F2"/>
    <w:rsid w:val="009220FD"/>
    <w:rsid w:val="0092459C"/>
    <w:rsid w:val="009256C6"/>
    <w:rsid w:val="00926A4F"/>
    <w:rsid w:val="00930DCC"/>
    <w:rsid w:val="00933F70"/>
    <w:rsid w:val="0093414A"/>
    <w:rsid w:val="00934C2A"/>
    <w:rsid w:val="009351A7"/>
    <w:rsid w:val="00937B62"/>
    <w:rsid w:val="00941CF7"/>
    <w:rsid w:val="00942F63"/>
    <w:rsid w:val="00943FBC"/>
    <w:rsid w:val="00947F69"/>
    <w:rsid w:val="00950A0D"/>
    <w:rsid w:val="009520A7"/>
    <w:rsid w:val="009524E8"/>
    <w:rsid w:val="00953F7F"/>
    <w:rsid w:val="0096005C"/>
    <w:rsid w:val="009612C9"/>
    <w:rsid w:val="00965F6F"/>
    <w:rsid w:val="009723E7"/>
    <w:rsid w:val="00974CFD"/>
    <w:rsid w:val="0097619F"/>
    <w:rsid w:val="00976227"/>
    <w:rsid w:val="009815A3"/>
    <w:rsid w:val="00981E4B"/>
    <w:rsid w:val="009836FD"/>
    <w:rsid w:val="009932B2"/>
    <w:rsid w:val="0099444A"/>
    <w:rsid w:val="009A159D"/>
    <w:rsid w:val="009A555F"/>
    <w:rsid w:val="009A64C4"/>
    <w:rsid w:val="009A7E98"/>
    <w:rsid w:val="009B264E"/>
    <w:rsid w:val="009B6502"/>
    <w:rsid w:val="009B7D87"/>
    <w:rsid w:val="009C1E49"/>
    <w:rsid w:val="009C291B"/>
    <w:rsid w:val="009C4FAA"/>
    <w:rsid w:val="009C764E"/>
    <w:rsid w:val="009D28AB"/>
    <w:rsid w:val="009D3955"/>
    <w:rsid w:val="009D79B6"/>
    <w:rsid w:val="009D7A55"/>
    <w:rsid w:val="009E1DB2"/>
    <w:rsid w:val="009E3D02"/>
    <w:rsid w:val="009E4042"/>
    <w:rsid w:val="009E6116"/>
    <w:rsid w:val="009E69B0"/>
    <w:rsid w:val="009F1059"/>
    <w:rsid w:val="009F211E"/>
    <w:rsid w:val="009F2804"/>
    <w:rsid w:val="009F3BD9"/>
    <w:rsid w:val="009F3DF4"/>
    <w:rsid w:val="009F4DBB"/>
    <w:rsid w:val="009F5A50"/>
    <w:rsid w:val="009F6D4C"/>
    <w:rsid w:val="00A01589"/>
    <w:rsid w:val="00A05404"/>
    <w:rsid w:val="00A06A65"/>
    <w:rsid w:val="00A07223"/>
    <w:rsid w:val="00A073B3"/>
    <w:rsid w:val="00A1211F"/>
    <w:rsid w:val="00A148E8"/>
    <w:rsid w:val="00A1501A"/>
    <w:rsid w:val="00A15542"/>
    <w:rsid w:val="00A16F42"/>
    <w:rsid w:val="00A32EDD"/>
    <w:rsid w:val="00A33ECD"/>
    <w:rsid w:val="00A360D0"/>
    <w:rsid w:val="00A36218"/>
    <w:rsid w:val="00A4340B"/>
    <w:rsid w:val="00A46412"/>
    <w:rsid w:val="00A51EC5"/>
    <w:rsid w:val="00A5213C"/>
    <w:rsid w:val="00A57FAD"/>
    <w:rsid w:val="00A64059"/>
    <w:rsid w:val="00A749F1"/>
    <w:rsid w:val="00A765EF"/>
    <w:rsid w:val="00A77387"/>
    <w:rsid w:val="00A80CB9"/>
    <w:rsid w:val="00A84FA5"/>
    <w:rsid w:val="00A9078C"/>
    <w:rsid w:val="00AA1A3A"/>
    <w:rsid w:val="00AA587F"/>
    <w:rsid w:val="00AA59FB"/>
    <w:rsid w:val="00AB1356"/>
    <w:rsid w:val="00AB2B57"/>
    <w:rsid w:val="00AB6B55"/>
    <w:rsid w:val="00AC05E9"/>
    <w:rsid w:val="00AC30EF"/>
    <w:rsid w:val="00AC445C"/>
    <w:rsid w:val="00AC7D47"/>
    <w:rsid w:val="00AD004B"/>
    <w:rsid w:val="00AE2975"/>
    <w:rsid w:val="00AE450B"/>
    <w:rsid w:val="00AF0CAB"/>
    <w:rsid w:val="00AF1DF7"/>
    <w:rsid w:val="00AF3984"/>
    <w:rsid w:val="00B01052"/>
    <w:rsid w:val="00B069D1"/>
    <w:rsid w:val="00B10CE2"/>
    <w:rsid w:val="00B12972"/>
    <w:rsid w:val="00B1533B"/>
    <w:rsid w:val="00B1599D"/>
    <w:rsid w:val="00B15B04"/>
    <w:rsid w:val="00B17C7D"/>
    <w:rsid w:val="00B221DC"/>
    <w:rsid w:val="00B3069B"/>
    <w:rsid w:val="00B42709"/>
    <w:rsid w:val="00B4480F"/>
    <w:rsid w:val="00B46812"/>
    <w:rsid w:val="00B5308E"/>
    <w:rsid w:val="00B565CA"/>
    <w:rsid w:val="00B57574"/>
    <w:rsid w:val="00B66718"/>
    <w:rsid w:val="00B7033A"/>
    <w:rsid w:val="00B7067C"/>
    <w:rsid w:val="00B75157"/>
    <w:rsid w:val="00B867BB"/>
    <w:rsid w:val="00B90553"/>
    <w:rsid w:val="00B93BC2"/>
    <w:rsid w:val="00B95829"/>
    <w:rsid w:val="00BA3D7C"/>
    <w:rsid w:val="00BA49FC"/>
    <w:rsid w:val="00BB1B7F"/>
    <w:rsid w:val="00BB2EB8"/>
    <w:rsid w:val="00BB67C8"/>
    <w:rsid w:val="00BC0567"/>
    <w:rsid w:val="00BC12FF"/>
    <w:rsid w:val="00BC251C"/>
    <w:rsid w:val="00BC6158"/>
    <w:rsid w:val="00BD0D49"/>
    <w:rsid w:val="00BD1952"/>
    <w:rsid w:val="00BD47AE"/>
    <w:rsid w:val="00BD53E6"/>
    <w:rsid w:val="00BD5CB1"/>
    <w:rsid w:val="00BD7D29"/>
    <w:rsid w:val="00BE36DA"/>
    <w:rsid w:val="00BE48AB"/>
    <w:rsid w:val="00BE49C4"/>
    <w:rsid w:val="00BE4BFC"/>
    <w:rsid w:val="00BE4FB0"/>
    <w:rsid w:val="00BE7ECE"/>
    <w:rsid w:val="00BF5327"/>
    <w:rsid w:val="00BF5737"/>
    <w:rsid w:val="00BF674D"/>
    <w:rsid w:val="00C00251"/>
    <w:rsid w:val="00C025F3"/>
    <w:rsid w:val="00C04915"/>
    <w:rsid w:val="00C07B81"/>
    <w:rsid w:val="00C10701"/>
    <w:rsid w:val="00C11F10"/>
    <w:rsid w:val="00C12AB6"/>
    <w:rsid w:val="00C155AA"/>
    <w:rsid w:val="00C23DE5"/>
    <w:rsid w:val="00C23FE4"/>
    <w:rsid w:val="00C24B4A"/>
    <w:rsid w:val="00C25B06"/>
    <w:rsid w:val="00C264D1"/>
    <w:rsid w:val="00C31551"/>
    <w:rsid w:val="00C32C0E"/>
    <w:rsid w:val="00C40A90"/>
    <w:rsid w:val="00C41841"/>
    <w:rsid w:val="00C4268A"/>
    <w:rsid w:val="00C557B8"/>
    <w:rsid w:val="00C560FD"/>
    <w:rsid w:val="00C56129"/>
    <w:rsid w:val="00C60478"/>
    <w:rsid w:val="00C60FD8"/>
    <w:rsid w:val="00C613D7"/>
    <w:rsid w:val="00C6216B"/>
    <w:rsid w:val="00C6255F"/>
    <w:rsid w:val="00C62B79"/>
    <w:rsid w:val="00C63AE1"/>
    <w:rsid w:val="00C65BDE"/>
    <w:rsid w:val="00C675AE"/>
    <w:rsid w:val="00C75744"/>
    <w:rsid w:val="00C773F1"/>
    <w:rsid w:val="00C7763B"/>
    <w:rsid w:val="00C803F5"/>
    <w:rsid w:val="00C81674"/>
    <w:rsid w:val="00C838CC"/>
    <w:rsid w:val="00C8458F"/>
    <w:rsid w:val="00C8528A"/>
    <w:rsid w:val="00C9295D"/>
    <w:rsid w:val="00C956EB"/>
    <w:rsid w:val="00C970BB"/>
    <w:rsid w:val="00C97230"/>
    <w:rsid w:val="00C97F07"/>
    <w:rsid w:val="00CA0640"/>
    <w:rsid w:val="00CB1694"/>
    <w:rsid w:val="00CB2DBE"/>
    <w:rsid w:val="00CB7CDC"/>
    <w:rsid w:val="00CC1A88"/>
    <w:rsid w:val="00CC46D2"/>
    <w:rsid w:val="00CC7157"/>
    <w:rsid w:val="00CD6483"/>
    <w:rsid w:val="00CE132C"/>
    <w:rsid w:val="00CE1F8B"/>
    <w:rsid w:val="00CE2DFF"/>
    <w:rsid w:val="00CE3981"/>
    <w:rsid w:val="00CE4C99"/>
    <w:rsid w:val="00CE51DB"/>
    <w:rsid w:val="00CE6EDA"/>
    <w:rsid w:val="00CF2056"/>
    <w:rsid w:val="00CF21D3"/>
    <w:rsid w:val="00CF2367"/>
    <w:rsid w:val="00CF32D2"/>
    <w:rsid w:val="00CF411F"/>
    <w:rsid w:val="00CF4E04"/>
    <w:rsid w:val="00CF69C6"/>
    <w:rsid w:val="00D0155F"/>
    <w:rsid w:val="00D01FA3"/>
    <w:rsid w:val="00D03AB4"/>
    <w:rsid w:val="00D05767"/>
    <w:rsid w:val="00D067A3"/>
    <w:rsid w:val="00D114C5"/>
    <w:rsid w:val="00D115A5"/>
    <w:rsid w:val="00D129AF"/>
    <w:rsid w:val="00D13514"/>
    <w:rsid w:val="00D1519D"/>
    <w:rsid w:val="00D23EE8"/>
    <w:rsid w:val="00D3082E"/>
    <w:rsid w:val="00D335E0"/>
    <w:rsid w:val="00D348CA"/>
    <w:rsid w:val="00D415E3"/>
    <w:rsid w:val="00D424F2"/>
    <w:rsid w:val="00D42617"/>
    <w:rsid w:val="00D511F4"/>
    <w:rsid w:val="00D51451"/>
    <w:rsid w:val="00D60513"/>
    <w:rsid w:val="00D63FA6"/>
    <w:rsid w:val="00D6448B"/>
    <w:rsid w:val="00D649AC"/>
    <w:rsid w:val="00D74DE6"/>
    <w:rsid w:val="00D760ED"/>
    <w:rsid w:val="00D776A4"/>
    <w:rsid w:val="00D814E0"/>
    <w:rsid w:val="00D9106F"/>
    <w:rsid w:val="00D91733"/>
    <w:rsid w:val="00D93AD9"/>
    <w:rsid w:val="00D94538"/>
    <w:rsid w:val="00DA0486"/>
    <w:rsid w:val="00DA2029"/>
    <w:rsid w:val="00DB3EAD"/>
    <w:rsid w:val="00DB5DF5"/>
    <w:rsid w:val="00DB64C1"/>
    <w:rsid w:val="00DB6985"/>
    <w:rsid w:val="00DB7F06"/>
    <w:rsid w:val="00DC0B40"/>
    <w:rsid w:val="00DC1CF7"/>
    <w:rsid w:val="00DC2DBB"/>
    <w:rsid w:val="00DC2F73"/>
    <w:rsid w:val="00DC3E97"/>
    <w:rsid w:val="00DC798F"/>
    <w:rsid w:val="00DD088A"/>
    <w:rsid w:val="00DD1412"/>
    <w:rsid w:val="00DD54C6"/>
    <w:rsid w:val="00DD60C1"/>
    <w:rsid w:val="00DE472B"/>
    <w:rsid w:val="00DE4741"/>
    <w:rsid w:val="00DF1884"/>
    <w:rsid w:val="00DF22AE"/>
    <w:rsid w:val="00DF68CD"/>
    <w:rsid w:val="00E05721"/>
    <w:rsid w:val="00E077EA"/>
    <w:rsid w:val="00E10403"/>
    <w:rsid w:val="00E10CFE"/>
    <w:rsid w:val="00E1108B"/>
    <w:rsid w:val="00E13773"/>
    <w:rsid w:val="00E152C0"/>
    <w:rsid w:val="00E24C6F"/>
    <w:rsid w:val="00E265F0"/>
    <w:rsid w:val="00E26901"/>
    <w:rsid w:val="00E3459C"/>
    <w:rsid w:val="00E45F7B"/>
    <w:rsid w:val="00E46685"/>
    <w:rsid w:val="00E55607"/>
    <w:rsid w:val="00E601F5"/>
    <w:rsid w:val="00E60801"/>
    <w:rsid w:val="00E6158A"/>
    <w:rsid w:val="00E62C05"/>
    <w:rsid w:val="00E63062"/>
    <w:rsid w:val="00E6323B"/>
    <w:rsid w:val="00E64929"/>
    <w:rsid w:val="00E65C9D"/>
    <w:rsid w:val="00E72FD3"/>
    <w:rsid w:val="00E756A5"/>
    <w:rsid w:val="00E77B29"/>
    <w:rsid w:val="00E811A4"/>
    <w:rsid w:val="00E82934"/>
    <w:rsid w:val="00E8687A"/>
    <w:rsid w:val="00E91B4A"/>
    <w:rsid w:val="00E93D21"/>
    <w:rsid w:val="00E93EF7"/>
    <w:rsid w:val="00E94FB2"/>
    <w:rsid w:val="00E973A1"/>
    <w:rsid w:val="00E975F0"/>
    <w:rsid w:val="00EA59AC"/>
    <w:rsid w:val="00EA712E"/>
    <w:rsid w:val="00EB1408"/>
    <w:rsid w:val="00EB181C"/>
    <w:rsid w:val="00EB2121"/>
    <w:rsid w:val="00EB3201"/>
    <w:rsid w:val="00EB5132"/>
    <w:rsid w:val="00EC1704"/>
    <w:rsid w:val="00EC79F6"/>
    <w:rsid w:val="00ED0261"/>
    <w:rsid w:val="00ED3DCA"/>
    <w:rsid w:val="00ED478E"/>
    <w:rsid w:val="00EE48C5"/>
    <w:rsid w:val="00EE6023"/>
    <w:rsid w:val="00EE60FA"/>
    <w:rsid w:val="00EE7778"/>
    <w:rsid w:val="00F03449"/>
    <w:rsid w:val="00F04006"/>
    <w:rsid w:val="00F048E4"/>
    <w:rsid w:val="00F077F9"/>
    <w:rsid w:val="00F07827"/>
    <w:rsid w:val="00F10C76"/>
    <w:rsid w:val="00F121A6"/>
    <w:rsid w:val="00F140F6"/>
    <w:rsid w:val="00F144DA"/>
    <w:rsid w:val="00F14BB1"/>
    <w:rsid w:val="00F20430"/>
    <w:rsid w:val="00F20CA2"/>
    <w:rsid w:val="00F30F1D"/>
    <w:rsid w:val="00F3301C"/>
    <w:rsid w:val="00F336FF"/>
    <w:rsid w:val="00F34598"/>
    <w:rsid w:val="00F36889"/>
    <w:rsid w:val="00F41338"/>
    <w:rsid w:val="00F41A10"/>
    <w:rsid w:val="00F43580"/>
    <w:rsid w:val="00F43D13"/>
    <w:rsid w:val="00F44AB4"/>
    <w:rsid w:val="00F45DB5"/>
    <w:rsid w:val="00F467DE"/>
    <w:rsid w:val="00F514A6"/>
    <w:rsid w:val="00F520A0"/>
    <w:rsid w:val="00F5423D"/>
    <w:rsid w:val="00F54746"/>
    <w:rsid w:val="00F572E9"/>
    <w:rsid w:val="00F61BE6"/>
    <w:rsid w:val="00F65157"/>
    <w:rsid w:val="00F70328"/>
    <w:rsid w:val="00F703B2"/>
    <w:rsid w:val="00F805C7"/>
    <w:rsid w:val="00F820DE"/>
    <w:rsid w:val="00F8251D"/>
    <w:rsid w:val="00F82ECA"/>
    <w:rsid w:val="00F90C0B"/>
    <w:rsid w:val="00F93A92"/>
    <w:rsid w:val="00F954AF"/>
    <w:rsid w:val="00F966CB"/>
    <w:rsid w:val="00FA17C2"/>
    <w:rsid w:val="00FA534F"/>
    <w:rsid w:val="00FA69C5"/>
    <w:rsid w:val="00FB0C5B"/>
    <w:rsid w:val="00FB1E62"/>
    <w:rsid w:val="00FB3C2A"/>
    <w:rsid w:val="00FB5A0C"/>
    <w:rsid w:val="00FB6B72"/>
    <w:rsid w:val="00FC0B8E"/>
    <w:rsid w:val="00FC35E4"/>
    <w:rsid w:val="00FC6BE8"/>
    <w:rsid w:val="00FC74A3"/>
    <w:rsid w:val="00FC799C"/>
    <w:rsid w:val="00FD3715"/>
    <w:rsid w:val="00FD5242"/>
    <w:rsid w:val="00FD5D5A"/>
    <w:rsid w:val="00FD7D24"/>
    <w:rsid w:val="00FF4767"/>
    <w:rsid w:val="00FF6001"/>
    <w:rsid w:val="7BD56E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cs="Cambria"/>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73"/>
    <w:semiHidden/>
    <w:qFormat/>
    <w:uiPriority w:val="99"/>
    <w:pPr>
      <w:shd w:val="clear" w:color="auto" w:fill="000080"/>
    </w:pPr>
    <w:rPr>
      <w:rFonts w:ascii="Times New Roman" w:hAnsi="Times New Roman" w:cs="Times New Roman"/>
    </w:rPr>
  </w:style>
  <w:style w:type="paragraph" w:styleId="5">
    <w:name w:val="Body Text"/>
    <w:basedOn w:val="1"/>
    <w:link w:val="42"/>
    <w:qFormat/>
    <w:uiPriority w:val="99"/>
    <w:pPr>
      <w:spacing w:after="120"/>
    </w:pPr>
    <w:rPr>
      <w:rFonts w:ascii="Times New Roman" w:hAnsi="Times New Roman" w:cs="Times New Roman"/>
    </w:rPr>
  </w:style>
  <w:style w:type="paragraph" w:styleId="6">
    <w:name w:val="Body Text Indent"/>
    <w:basedOn w:val="1"/>
    <w:link w:val="52"/>
    <w:qFormat/>
    <w:uiPriority w:val="99"/>
    <w:pPr>
      <w:spacing w:after="120"/>
      <w:ind w:left="420" w:leftChars="200"/>
    </w:pPr>
    <w:rPr>
      <w:rFonts w:ascii="Times New Roman" w:hAnsi="Times New Roman" w:cs="Times New Roman"/>
    </w:rPr>
  </w:style>
  <w:style w:type="paragraph" w:styleId="7">
    <w:name w:val="toc 3"/>
    <w:basedOn w:val="1"/>
    <w:next w:val="1"/>
    <w:autoRedefine/>
    <w:semiHidden/>
    <w:qFormat/>
    <w:uiPriority w:val="99"/>
    <w:pPr>
      <w:widowControl/>
      <w:spacing w:after="100" w:line="276" w:lineRule="auto"/>
      <w:ind w:left="440"/>
      <w:jc w:val="left"/>
    </w:pPr>
    <w:rPr>
      <w:kern w:val="0"/>
      <w:sz w:val="22"/>
      <w:szCs w:val="22"/>
    </w:rPr>
  </w:style>
  <w:style w:type="paragraph" w:styleId="8">
    <w:name w:val="Plain Text"/>
    <w:basedOn w:val="1"/>
    <w:link w:val="43"/>
    <w:qFormat/>
    <w:uiPriority w:val="99"/>
    <w:rPr>
      <w:rFonts w:ascii="宋体" w:hAnsi="Courier New" w:cs="宋体"/>
    </w:rPr>
  </w:style>
  <w:style w:type="paragraph" w:styleId="9">
    <w:name w:val="Date"/>
    <w:basedOn w:val="1"/>
    <w:next w:val="1"/>
    <w:link w:val="46"/>
    <w:uiPriority w:val="99"/>
    <w:pPr>
      <w:ind w:left="100" w:leftChars="2500"/>
    </w:pPr>
    <w:rPr>
      <w:rFonts w:ascii="仿宋_GB2312" w:hAnsi="宋体" w:eastAsia="仿宋_GB2312" w:cs="仿宋_GB2312"/>
      <w:spacing w:val="10"/>
      <w:sz w:val="30"/>
      <w:szCs w:val="30"/>
    </w:rPr>
  </w:style>
  <w:style w:type="paragraph" w:styleId="10">
    <w:name w:val="Body Text Indent 2"/>
    <w:basedOn w:val="1"/>
    <w:link w:val="41"/>
    <w:qFormat/>
    <w:uiPriority w:val="99"/>
    <w:pPr>
      <w:ind w:firstLine="621" w:firstLineChars="200"/>
    </w:pPr>
    <w:rPr>
      <w:rFonts w:ascii="仿宋_GB2312" w:hAnsi="Times New Roman" w:eastAsia="仿宋_GB2312" w:cs="仿宋_GB2312"/>
      <w:sz w:val="32"/>
      <w:szCs w:val="32"/>
    </w:rPr>
  </w:style>
  <w:style w:type="paragraph" w:styleId="11">
    <w:name w:val="Balloon Text"/>
    <w:basedOn w:val="1"/>
    <w:link w:val="31"/>
    <w:semiHidden/>
    <w:qFormat/>
    <w:uiPriority w:val="99"/>
    <w:rPr>
      <w:sz w:val="18"/>
      <w:szCs w:val="18"/>
    </w:rPr>
  </w:style>
  <w:style w:type="paragraph" w:styleId="12">
    <w:name w:val="footer"/>
    <w:basedOn w:val="1"/>
    <w:link w:val="28"/>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autoRedefine/>
    <w:semiHidden/>
    <w:qFormat/>
    <w:uiPriority w:val="99"/>
    <w:pPr>
      <w:spacing w:before="120" w:after="120"/>
      <w:jc w:val="left"/>
    </w:pPr>
    <w:rPr>
      <w:rFonts w:ascii="Times New Roman" w:hAnsi="Times New Roman" w:cs="Times New Roman"/>
      <w:b/>
      <w:bCs/>
      <w:caps/>
      <w:sz w:val="20"/>
      <w:szCs w:val="20"/>
    </w:rPr>
  </w:style>
  <w:style w:type="paragraph" w:styleId="15">
    <w:name w:val="toc 2"/>
    <w:basedOn w:val="1"/>
    <w:next w:val="1"/>
    <w:autoRedefine/>
    <w:semiHidden/>
    <w:qFormat/>
    <w:uiPriority w:val="99"/>
    <w:pPr>
      <w:widowControl/>
      <w:spacing w:after="100" w:line="276" w:lineRule="auto"/>
      <w:ind w:left="220"/>
      <w:jc w:val="left"/>
    </w:pPr>
    <w:rPr>
      <w:kern w:val="0"/>
      <w:sz w:val="22"/>
      <w:szCs w:val="22"/>
    </w:rPr>
  </w:style>
  <w:style w:type="paragraph" w:styleId="16">
    <w:name w:val="HTML Preformatted"/>
    <w:basedOn w:val="1"/>
    <w:link w:val="45"/>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szCs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99"/>
    <w:rPr>
      <w:b/>
      <w:bCs/>
    </w:rPr>
  </w:style>
  <w:style w:type="character" w:styleId="22">
    <w:name w:val="page number"/>
    <w:basedOn w:val="20"/>
    <w:qFormat/>
    <w:uiPriority w:val="99"/>
  </w:style>
  <w:style w:type="character" w:styleId="23">
    <w:name w:val="Emphasis"/>
    <w:qFormat/>
    <w:uiPriority w:val="99"/>
    <w:rPr>
      <w:rFonts w:ascii="Verdana" w:hAnsi="Verdana" w:cs="Verdana"/>
      <w:color w:val="auto"/>
      <w:kern w:val="0"/>
      <w:sz w:val="20"/>
      <w:szCs w:val="20"/>
      <w:lang w:eastAsia="en-US"/>
    </w:rPr>
  </w:style>
  <w:style w:type="character" w:styleId="24">
    <w:name w:val="Hyperlink"/>
    <w:qFormat/>
    <w:uiPriority w:val="99"/>
    <w:rPr>
      <w:color w:val="0000FF"/>
      <w:u w:val="single"/>
    </w:rPr>
  </w:style>
  <w:style w:type="character" w:customStyle="1" w:styleId="25">
    <w:name w:val="标题 1 Char"/>
    <w:link w:val="2"/>
    <w:qFormat/>
    <w:locked/>
    <w:uiPriority w:val="99"/>
    <w:rPr>
      <w:rFonts w:ascii="Calibri" w:hAnsi="Calibri" w:eastAsia="宋体" w:cs="Calibri"/>
      <w:b/>
      <w:bCs/>
      <w:kern w:val="44"/>
      <w:sz w:val="44"/>
      <w:szCs w:val="44"/>
    </w:rPr>
  </w:style>
  <w:style w:type="character" w:customStyle="1" w:styleId="26">
    <w:name w:val="标题 2 Char"/>
    <w:link w:val="3"/>
    <w:qFormat/>
    <w:locked/>
    <w:uiPriority w:val="99"/>
    <w:rPr>
      <w:rFonts w:ascii="Cambria" w:hAnsi="Cambria" w:eastAsia="宋体" w:cs="Cambria"/>
      <w:b/>
      <w:bCs/>
      <w:sz w:val="32"/>
      <w:szCs w:val="32"/>
    </w:rPr>
  </w:style>
  <w:style w:type="character" w:customStyle="1" w:styleId="27">
    <w:name w:val="页眉 Char"/>
    <w:link w:val="13"/>
    <w:qFormat/>
    <w:locked/>
    <w:uiPriority w:val="99"/>
    <w:rPr>
      <w:sz w:val="18"/>
      <w:szCs w:val="18"/>
    </w:rPr>
  </w:style>
  <w:style w:type="character" w:customStyle="1" w:styleId="28">
    <w:name w:val="页脚 Char"/>
    <w:link w:val="12"/>
    <w:qFormat/>
    <w:locked/>
    <w:uiPriority w:val="99"/>
    <w:rPr>
      <w:sz w:val="18"/>
      <w:szCs w:val="18"/>
    </w:rPr>
  </w:style>
  <w:style w:type="paragraph" w:customStyle="1" w:styleId="29">
    <w:name w:val="Char"/>
    <w:basedOn w:val="1"/>
    <w:qFormat/>
    <w:uiPriority w:val="99"/>
    <w:rPr>
      <w:rFonts w:ascii="Arial" w:hAnsi="Arial" w:cs="Arial"/>
      <w:sz w:val="20"/>
      <w:szCs w:val="20"/>
    </w:rPr>
  </w:style>
  <w:style w:type="paragraph" w:customStyle="1" w:styleId="30">
    <w:name w:val="p0"/>
    <w:basedOn w:val="1"/>
    <w:qFormat/>
    <w:uiPriority w:val="99"/>
    <w:pPr>
      <w:widowControl/>
    </w:pPr>
    <w:rPr>
      <w:kern w:val="0"/>
    </w:rPr>
  </w:style>
  <w:style w:type="character" w:customStyle="1" w:styleId="31">
    <w:name w:val="批注框文本 Char"/>
    <w:link w:val="11"/>
    <w:qFormat/>
    <w:locked/>
    <w:uiPriority w:val="99"/>
    <w:rPr>
      <w:rFonts w:ascii="Calibri" w:hAnsi="Calibri" w:eastAsia="宋体" w:cs="Calibri"/>
      <w:sz w:val="18"/>
      <w:szCs w:val="18"/>
    </w:rPr>
  </w:style>
  <w:style w:type="paragraph" w:styleId="32">
    <w:name w:val="No Spacing"/>
    <w:link w:val="33"/>
    <w:qFormat/>
    <w:uiPriority w:val="99"/>
    <w:pPr>
      <w:spacing w:line="300" w:lineRule="exact"/>
    </w:pPr>
    <w:rPr>
      <w:rFonts w:ascii="Calibri" w:hAnsi="Calibri" w:eastAsia="宋体" w:cs="Calibri"/>
      <w:sz w:val="22"/>
      <w:szCs w:val="22"/>
      <w:lang w:val="en-US" w:eastAsia="zh-CN" w:bidi="ar-SA"/>
    </w:rPr>
  </w:style>
  <w:style w:type="character" w:customStyle="1" w:styleId="33">
    <w:name w:val="无间隔 Char"/>
    <w:link w:val="32"/>
    <w:qFormat/>
    <w:locked/>
    <w:uiPriority w:val="99"/>
    <w:rPr>
      <w:rFonts w:ascii="Calibri" w:hAnsi="Calibri" w:eastAsia="宋体" w:cs="Calibri"/>
      <w:sz w:val="22"/>
      <w:szCs w:val="22"/>
    </w:rPr>
  </w:style>
  <w:style w:type="paragraph" w:customStyle="1" w:styleId="34">
    <w:name w:val="Char1"/>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35">
    <w:name w:val="Char Char Char Char"/>
    <w:basedOn w:val="1"/>
    <w:qFormat/>
    <w:uiPriority w:val="99"/>
    <w:rPr>
      <w:rFonts w:ascii="Tahoma" w:hAnsi="Tahoma" w:cs="Tahoma"/>
      <w:sz w:val="24"/>
      <w:szCs w:val="24"/>
    </w:rPr>
  </w:style>
  <w:style w:type="paragraph" w:customStyle="1" w:styleId="36">
    <w:name w:val="Char11"/>
    <w:basedOn w:val="1"/>
    <w:autoRedefine/>
    <w:qFormat/>
    <w:uiPriority w:val="99"/>
    <w:pPr>
      <w:tabs>
        <w:tab w:val="left" w:pos="360"/>
      </w:tabs>
    </w:pPr>
    <w:rPr>
      <w:rFonts w:ascii="Times New Roman" w:hAnsi="Times New Roman" w:cs="Times New Roman"/>
      <w:sz w:val="24"/>
      <w:szCs w:val="24"/>
    </w:rPr>
  </w:style>
  <w:style w:type="paragraph" w:customStyle="1" w:styleId="37">
    <w:name w:val="Char Char Char Char Char Char Char Char Char Char Char Char Char Char Char Char Char Char Char Char Char1 Char"/>
    <w:autoRedefine/>
    <w:qFormat/>
    <w:uiPriority w:val="99"/>
    <w:pPr>
      <w:widowControl w:val="0"/>
      <w:spacing w:line="360" w:lineRule="exact"/>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38">
    <w:name w:val="默认段落字体 Para Char"/>
    <w:basedOn w:val="1"/>
    <w:qFormat/>
    <w:uiPriority w:val="99"/>
    <w:rPr>
      <w:rFonts w:ascii="Times New Roman" w:hAnsi="Times New Roman" w:cs="Times New Roman"/>
    </w:rPr>
  </w:style>
  <w:style w:type="paragraph" w:customStyle="1" w:styleId="39">
    <w:name w:val="_Style 3"/>
    <w:basedOn w:val="1"/>
    <w:qFormat/>
    <w:uiPriority w:val="99"/>
    <w:pPr>
      <w:widowControl/>
      <w:spacing w:after="160" w:line="240" w:lineRule="exact"/>
      <w:jc w:val="left"/>
    </w:pPr>
    <w:rPr>
      <w:rFonts w:ascii="Times New Roman" w:hAnsi="Times New Roman" w:cs="Times New Roman"/>
    </w:rPr>
  </w:style>
  <w:style w:type="paragraph" w:customStyle="1" w:styleId="40">
    <w:name w:val="TOC Heading"/>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41">
    <w:name w:val="正文文本缩进 2 Char"/>
    <w:link w:val="10"/>
    <w:qFormat/>
    <w:locked/>
    <w:uiPriority w:val="99"/>
    <w:rPr>
      <w:rFonts w:ascii="仿宋_GB2312" w:hAnsi="Times New Roman" w:eastAsia="仿宋_GB2312" w:cs="仿宋_GB2312"/>
      <w:sz w:val="24"/>
      <w:szCs w:val="24"/>
    </w:rPr>
  </w:style>
  <w:style w:type="character" w:customStyle="1" w:styleId="42">
    <w:name w:val="正文文本 Char"/>
    <w:link w:val="5"/>
    <w:qFormat/>
    <w:locked/>
    <w:uiPriority w:val="99"/>
    <w:rPr>
      <w:rFonts w:ascii="Times New Roman" w:hAnsi="Times New Roman" w:eastAsia="宋体" w:cs="Times New Roman"/>
      <w:sz w:val="24"/>
      <w:szCs w:val="24"/>
    </w:rPr>
  </w:style>
  <w:style w:type="character" w:customStyle="1" w:styleId="43">
    <w:name w:val="纯文本 Char"/>
    <w:link w:val="8"/>
    <w:qFormat/>
    <w:locked/>
    <w:uiPriority w:val="99"/>
    <w:rPr>
      <w:rFonts w:ascii="宋体" w:hAnsi="Courier New" w:eastAsia="宋体" w:cs="宋体"/>
      <w:sz w:val="21"/>
      <w:szCs w:val="21"/>
    </w:rPr>
  </w:style>
  <w:style w:type="table" w:customStyle="1" w:styleId="44">
    <w:name w:val="网格型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5">
    <w:name w:val="HTML 预设格式 Char"/>
    <w:link w:val="16"/>
    <w:locked/>
    <w:uiPriority w:val="99"/>
    <w:rPr>
      <w:rFonts w:ascii="宋体" w:hAnsi="宋体" w:eastAsia="宋体" w:cs="宋体"/>
      <w:kern w:val="0"/>
      <w:sz w:val="24"/>
      <w:szCs w:val="24"/>
    </w:rPr>
  </w:style>
  <w:style w:type="character" w:customStyle="1" w:styleId="46">
    <w:name w:val="日期 Char"/>
    <w:link w:val="9"/>
    <w:locked/>
    <w:uiPriority w:val="99"/>
    <w:rPr>
      <w:rFonts w:ascii="仿宋_GB2312" w:hAnsi="宋体" w:eastAsia="仿宋_GB2312" w:cs="仿宋_GB2312"/>
      <w:spacing w:val="10"/>
      <w:sz w:val="24"/>
      <w:szCs w:val="24"/>
    </w:rPr>
  </w:style>
  <w:style w:type="paragraph" w:customStyle="1" w:styleId="47">
    <w:name w:val="xl27"/>
    <w:basedOn w:val="1"/>
    <w:uiPriority w:val="99"/>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Char2"/>
    <w:basedOn w:val="1"/>
    <w:uiPriority w:val="99"/>
    <w:pPr>
      <w:widowControl/>
      <w:spacing w:after="160" w:line="240" w:lineRule="exact"/>
      <w:jc w:val="left"/>
    </w:pPr>
    <w:rPr>
      <w:rFonts w:ascii="Verdana" w:hAnsi="Verdana" w:cs="Verdana"/>
      <w:kern w:val="0"/>
      <w:sz w:val="20"/>
      <w:szCs w:val="20"/>
      <w:lang w:eastAsia="en-US"/>
    </w:rPr>
  </w:style>
  <w:style w:type="paragraph" w:customStyle="1" w:styleId="49">
    <w:name w:val="列出段落1"/>
    <w:basedOn w:val="1"/>
    <w:uiPriority w:val="99"/>
    <w:pPr>
      <w:ind w:firstLine="420" w:firstLineChars="200"/>
    </w:pPr>
    <w:rPr>
      <w:rFonts w:ascii="Times New Roman" w:hAnsi="Times New Roman" w:cs="Times New Roman"/>
    </w:rPr>
  </w:style>
  <w:style w:type="character" w:customStyle="1" w:styleId="50">
    <w:name w:val="wrap"/>
    <w:uiPriority w:val="99"/>
  </w:style>
  <w:style w:type="paragraph" w:customStyle="1" w:styleId="51">
    <w:name w:val="Char Char Char"/>
    <w:basedOn w:val="1"/>
    <w:qFormat/>
    <w:uiPriority w:val="99"/>
    <w:pPr>
      <w:spacing w:line="360" w:lineRule="auto"/>
      <w:ind w:firstLine="200" w:firstLineChars="200"/>
    </w:pPr>
    <w:rPr>
      <w:rFonts w:ascii="宋体" w:hAnsi="宋体" w:cs="宋体"/>
      <w:sz w:val="24"/>
      <w:szCs w:val="24"/>
    </w:rPr>
  </w:style>
  <w:style w:type="character" w:customStyle="1" w:styleId="52">
    <w:name w:val="正文文本缩进 Char"/>
    <w:link w:val="6"/>
    <w:qFormat/>
    <w:locked/>
    <w:uiPriority w:val="99"/>
    <w:rPr>
      <w:rFonts w:ascii="Times New Roman" w:hAnsi="Times New Roman" w:eastAsia="宋体" w:cs="Times New Roman"/>
      <w:sz w:val="24"/>
      <w:szCs w:val="24"/>
    </w:rPr>
  </w:style>
  <w:style w:type="paragraph" w:customStyle="1" w:styleId="53">
    <w:name w:val="标题2"/>
    <w:basedOn w:val="3"/>
    <w:qFormat/>
    <w:uiPriority w:val="99"/>
    <w:pPr>
      <w:adjustRightInd w:val="0"/>
      <w:snapToGrid w:val="0"/>
      <w:spacing w:before="0" w:after="0" w:line="520" w:lineRule="exact"/>
      <w:ind w:firstLine="200" w:firstLineChars="200"/>
    </w:pPr>
    <w:rPr>
      <w:rFonts w:eastAsia="黑体"/>
      <w:b w:val="0"/>
      <w:bCs w:val="0"/>
    </w:rPr>
  </w:style>
  <w:style w:type="paragraph" w:customStyle="1" w:styleId="54">
    <w:name w:val="标题3"/>
    <w:basedOn w:val="1"/>
    <w:qFormat/>
    <w:uiPriority w:val="99"/>
    <w:pPr>
      <w:adjustRightInd w:val="0"/>
      <w:snapToGrid w:val="0"/>
      <w:spacing w:line="520" w:lineRule="exact"/>
      <w:ind w:firstLine="200" w:firstLineChars="200"/>
    </w:pPr>
    <w:rPr>
      <w:rFonts w:ascii="Times New Roman" w:hAnsi="Times New Roman" w:eastAsia="楷体_GB2312" w:cs="Times New Roman"/>
      <w:sz w:val="32"/>
      <w:szCs w:val="32"/>
    </w:rPr>
  </w:style>
  <w:style w:type="paragraph" w:customStyle="1" w:styleId="55">
    <w:name w:val="Char Char"/>
    <w:basedOn w:val="1"/>
    <w:qFormat/>
    <w:uiPriority w:val="99"/>
    <w:pPr>
      <w:spacing w:line="360" w:lineRule="auto"/>
      <w:ind w:firstLine="200" w:firstLineChars="200"/>
    </w:pPr>
    <w:rPr>
      <w:rFonts w:ascii="宋体" w:hAnsi="宋体" w:cs="宋体"/>
      <w:sz w:val="24"/>
      <w:szCs w:val="24"/>
    </w:rPr>
  </w:style>
  <w:style w:type="character" w:customStyle="1" w:styleId="56">
    <w:name w:val="apple-converted-space"/>
    <w:qFormat/>
    <w:uiPriority w:val="99"/>
  </w:style>
  <w:style w:type="paragraph" w:customStyle="1" w:styleId="57">
    <w:name w:val="Char Char Char Char1"/>
    <w:basedOn w:val="1"/>
    <w:qFormat/>
    <w:uiPriority w:val="99"/>
    <w:rPr>
      <w:rFonts w:ascii="Tahoma" w:hAnsi="Tahoma" w:cs="Tahoma"/>
      <w:sz w:val="24"/>
      <w:szCs w:val="24"/>
    </w:rPr>
  </w:style>
  <w:style w:type="paragraph" w:customStyle="1" w:styleId="58">
    <w:name w:val="正文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9">
    <w:name w:val="Char Char Char2"/>
    <w:basedOn w:val="1"/>
    <w:qFormat/>
    <w:uiPriority w:val="99"/>
    <w:pPr>
      <w:spacing w:line="360" w:lineRule="auto"/>
      <w:ind w:firstLine="200" w:firstLineChars="200"/>
    </w:pPr>
    <w:rPr>
      <w:rFonts w:ascii="宋体" w:hAnsi="宋体" w:cs="宋体"/>
      <w:sz w:val="24"/>
      <w:szCs w:val="24"/>
    </w:rPr>
  </w:style>
  <w:style w:type="table" w:customStyle="1" w:styleId="60">
    <w:name w:val="网格型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1">
    <w:name w:val="列出段落11"/>
    <w:basedOn w:val="1"/>
    <w:qFormat/>
    <w:uiPriority w:val="99"/>
    <w:pPr>
      <w:ind w:firstLine="420" w:firstLineChars="200"/>
    </w:pPr>
    <w:rPr>
      <w:rFonts w:ascii="Times New Roman" w:hAnsi="Times New Roman" w:cs="Times New Roman"/>
    </w:rPr>
  </w:style>
  <w:style w:type="paragraph" w:customStyle="1" w:styleId="62">
    <w:name w:val="Char Char Char1"/>
    <w:basedOn w:val="1"/>
    <w:qFormat/>
    <w:uiPriority w:val="99"/>
    <w:pPr>
      <w:spacing w:line="360" w:lineRule="auto"/>
      <w:ind w:firstLine="200" w:firstLineChars="200"/>
    </w:pPr>
    <w:rPr>
      <w:rFonts w:ascii="宋体" w:hAnsi="宋体" w:cs="宋体"/>
      <w:sz w:val="24"/>
      <w:szCs w:val="24"/>
    </w:rPr>
  </w:style>
  <w:style w:type="table" w:customStyle="1" w:styleId="63">
    <w:name w:val="网格型3"/>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4">
    <w:name w:val="Char Char1 Char Char Char Char Char Char Char Char"/>
    <w:basedOn w:val="1"/>
    <w:qFormat/>
    <w:uiPriority w:val="99"/>
    <w:pPr>
      <w:widowControl/>
      <w:spacing w:after="160" w:line="240" w:lineRule="exact"/>
      <w:jc w:val="left"/>
    </w:pPr>
    <w:rPr>
      <w:rFonts w:ascii="Times New Roman" w:hAnsi="Times New Roman" w:cs="Times New Roman"/>
    </w:rPr>
  </w:style>
  <w:style w:type="paragraph" w:styleId="65">
    <w:name w:val="List Paragraph"/>
    <w:basedOn w:val="1"/>
    <w:qFormat/>
    <w:uiPriority w:val="99"/>
    <w:pPr>
      <w:ind w:firstLine="420" w:firstLineChars="200"/>
    </w:pPr>
    <w:rPr>
      <w:rFonts w:ascii="Times New Roman" w:hAnsi="Times New Roman" w:cs="Times New Roman"/>
    </w:rPr>
  </w:style>
  <w:style w:type="paragraph" w:customStyle="1" w:styleId="66">
    <w:name w:val="Char Char1 Char Char Char Char Char Char Char Char1"/>
    <w:basedOn w:val="1"/>
    <w:qFormat/>
    <w:uiPriority w:val="99"/>
    <w:pPr>
      <w:widowControl/>
      <w:spacing w:after="160" w:line="240" w:lineRule="exact"/>
      <w:jc w:val="left"/>
    </w:pPr>
    <w:rPr>
      <w:rFonts w:ascii="Times New Roman" w:hAnsi="Times New Roman" w:cs="Times New Roman"/>
    </w:rPr>
  </w:style>
  <w:style w:type="paragraph" w:customStyle="1" w:styleId="67">
    <w:name w:val="Char Char Char Char Char Char Char Char Char Char Char Char Char Char Char Char Char Char Char Char Char1 Char1"/>
    <w:autoRedefine/>
    <w:qFormat/>
    <w:uiPriority w:val="99"/>
    <w:pPr>
      <w:widowControl w:val="0"/>
      <w:spacing w:line="360" w:lineRule="exact"/>
      <w:ind w:firstLine="480" w:firstLineChars="200"/>
      <w:jc w:val="both"/>
    </w:pPr>
    <w:rPr>
      <w:rFonts w:ascii="Times New Roman" w:hAnsi="Times New Roman" w:eastAsia="仿宋_GB2312" w:cs="Times New Roman"/>
      <w:kern w:val="2"/>
      <w:sz w:val="24"/>
      <w:szCs w:val="24"/>
      <w:lang w:val="en-US" w:eastAsia="zh-CN" w:bidi="ar-SA"/>
    </w:rPr>
  </w:style>
  <w:style w:type="table" w:customStyle="1" w:styleId="68">
    <w:name w:val="网格型1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网格型2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正文文本缩进 Char1"/>
    <w:semiHidden/>
    <w:qFormat/>
    <w:uiPriority w:val="99"/>
    <w:rPr>
      <w:kern w:val="2"/>
      <w:sz w:val="22"/>
      <w:szCs w:val="22"/>
    </w:rPr>
  </w:style>
  <w:style w:type="paragraph" w:customStyle="1" w:styleId="71">
    <w:name w:val="1"/>
    <w:basedOn w:val="1"/>
    <w:qFormat/>
    <w:uiPriority w:val="99"/>
    <w:pPr>
      <w:tabs>
        <w:tab w:val="left" w:pos="425"/>
      </w:tabs>
      <w:ind w:left="425" w:hanging="425"/>
    </w:pPr>
    <w:rPr>
      <w:rFonts w:ascii="Times New Roman" w:hAnsi="Times New Roman" w:cs="Times New Roman"/>
    </w:rPr>
  </w:style>
  <w:style w:type="paragraph" w:customStyle="1" w:styleId="72">
    <w:name w:val="Char1 Char Char Char Char Char Char Char Char Char"/>
    <w:basedOn w:val="1"/>
    <w:qFormat/>
    <w:uiPriority w:val="99"/>
    <w:pPr>
      <w:spacing w:line="360" w:lineRule="auto"/>
    </w:pPr>
    <w:rPr>
      <w:rFonts w:ascii="Times New Roman" w:hAnsi="Times New Roman" w:cs="Times New Roman"/>
    </w:rPr>
  </w:style>
  <w:style w:type="character" w:customStyle="1" w:styleId="73">
    <w:name w:val="文档结构图 Char"/>
    <w:link w:val="4"/>
    <w:semiHidden/>
    <w:qFormat/>
    <w:locked/>
    <w:uiPriority w:val="99"/>
    <w:rPr>
      <w:rFonts w:ascii="Times New Roman" w:hAnsi="Times New Roman" w:eastAsia="宋体" w:cs="Times New Roman"/>
      <w:sz w:val="24"/>
      <w:szCs w:val="24"/>
      <w:shd w:val="clear" w:color="auto" w:fill="000080"/>
    </w:rPr>
  </w:style>
  <w:style w:type="table" w:customStyle="1" w:styleId="74">
    <w:name w:val="网格型4"/>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网格型1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网格型2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7">
    <w:name w:val="Quote"/>
    <w:basedOn w:val="1"/>
    <w:next w:val="1"/>
    <w:link w:val="78"/>
    <w:qFormat/>
    <w:uiPriority w:val="29"/>
    <w:rPr>
      <w:i/>
      <w:iCs/>
      <w:color w:val="000000"/>
    </w:rPr>
  </w:style>
  <w:style w:type="character" w:customStyle="1" w:styleId="78">
    <w:name w:val="引用 Char"/>
    <w:link w:val="77"/>
    <w:qFormat/>
    <w:uiPriority w:val="29"/>
    <w:rPr>
      <w:rFonts w:cs="Calibri"/>
      <w:i/>
      <w:iCs/>
      <w:color w:val="000000"/>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73</Pages>
  <Words>1294</Words>
  <Characters>1424</Characters>
  <Lines>314</Lines>
  <Paragraphs>88</Paragraphs>
  <TotalTime>2</TotalTime>
  <ScaleCrop>false</ScaleCrop>
  <LinksUpToDate>false</LinksUpToDate>
  <CharactersWithSpaces>1435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2019-12-13T03:13:00Z</dcterms:created>
  <dc:creator>杨联锋</dc:creator>
  <cp:lastModifiedBy>妮蝶莱拉</cp:lastModifiedBy>
  <cp:lastPrinted>2019-05-05T08:01:00Z</cp:lastPrinted>
  <dcterms:modified xsi:type="dcterms:W3CDTF">2025-01-07T02:29:23Z</dcterms:modified>
  <dc:title>鹤办发〔2018〕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C2AD9BE945804099B47A96B765CC5EE6_12</vt:lpwstr>
  </property>
</Properties>
</file>