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6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附件：</w:t>
      </w:r>
    </w:p>
    <w:p>
      <w:pPr>
        <w:spacing w:before="0" w:beforeAutospacing="0" w:after="0" w:afterAutospacing="0" w:line="600" w:lineRule="exact"/>
        <w:jc w:val="left"/>
        <w:rPr>
          <w:rFonts w:ascii="Times New Roman" w:hAnsi="Times New Roman" w:eastAsia="方正仿宋_GBK"/>
          <w:color w:val="000000"/>
          <w:kern w:val="0"/>
          <w:sz w:val="30"/>
          <w:szCs w:val="30"/>
        </w:rPr>
      </w:pPr>
    </w:p>
    <w:p>
      <w:pPr>
        <w:widowControl/>
        <w:spacing w:after="240" w:line="400" w:lineRule="exact"/>
        <w:jc w:val="center"/>
        <w:rPr>
          <w:rFonts w:hint="default" w:ascii="Times New Roman" w:hAnsi="Times New Roman" w:eastAsia="方正大标宋_GBK"/>
          <w:color w:val="000000"/>
          <w:kern w:val="0"/>
          <w:sz w:val="36"/>
          <w:szCs w:val="36"/>
        </w:rPr>
      </w:pPr>
      <w:r>
        <w:rPr>
          <w:rFonts w:hint="eastAsia" w:ascii="Times New Roman" w:hAnsi="Times New Roman" w:eastAsia="方正大标宋_GBK"/>
          <w:color w:val="000000"/>
          <w:kern w:val="0"/>
          <w:sz w:val="36"/>
          <w:szCs w:val="36"/>
        </w:rPr>
        <w:t>2023年第六批江门市科技计划项目验收结论信息表</w:t>
      </w:r>
    </w:p>
    <w:tbl>
      <w:tblPr>
        <w:tblStyle w:val="2"/>
        <w:tblW w:w="10397" w:type="dxa"/>
        <w:jc w:val="center"/>
        <w:tblInd w:w="0" w:type="dxa"/>
        <w:tblLayout w:type="fixed"/>
        <w:tblCellMar>
          <w:top w:w="0" w:type="dxa"/>
          <w:left w:w="108" w:type="dxa"/>
          <w:bottom w:w="0" w:type="dxa"/>
          <w:right w:w="108" w:type="dxa"/>
        </w:tblCellMar>
      </w:tblPr>
      <w:tblGrid>
        <w:gridCol w:w="692"/>
        <w:gridCol w:w="5104"/>
        <w:gridCol w:w="3600"/>
        <w:gridCol w:w="1001"/>
      </w:tblGrid>
      <w:tr>
        <w:tblPrEx>
          <w:tblLayout w:type="fixed"/>
          <w:tblCellMar>
            <w:top w:w="0" w:type="dxa"/>
            <w:left w:w="108" w:type="dxa"/>
            <w:bottom w:w="0" w:type="dxa"/>
            <w:right w:w="108" w:type="dxa"/>
          </w:tblCellMar>
        </w:tblPrEx>
        <w:trPr>
          <w:trHeight w:val="90"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val="0"/>
                <w:color w:val="000000"/>
                <w:sz w:val="24"/>
                <w:szCs w:val="24"/>
              </w:rPr>
            </w:pPr>
            <w:bookmarkStart w:id="0" w:name="_GoBack"/>
            <w:r>
              <w:rPr>
                <w:rFonts w:hint="default" w:ascii="Times New Roman" w:hAnsi="Times New Roman" w:eastAsia="方正黑体_GBK" w:cs="Times New Roman"/>
                <w:b w:val="0"/>
                <w:bCs w:val="0"/>
                <w:color w:val="000000"/>
                <w:sz w:val="24"/>
                <w:szCs w:val="24"/>
              </w:rPr>
              <w:t>序号</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项 目 名 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承 担 单 位</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验收</w:t>
            </w:r>
          </w:p>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结论</w:t>
            </w:r>
          </w:p>
        </w:tc>
      </w:tr>
      <w:tr>
        <w:tblPrEx>
          <w:tblLayout w:type="fixed"/>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color w:val="000000"/>
                <w:sz w:val="22"/>
                <w:lang w:val="en-US" w:eastAsia="zh"/>
              </w:rPr>
            </w:pPr>
            <w:r>
              <w:rPr>
                <w:rFonts w:hint="default" w:ascii="Times New Roman" w:hAnsi="Times New Roman" w:eastAsia="方正仿宋_GBK" w:cs="Times New Roman"/>
                <w:b/>
                <w:bCs/>
                <w:color w:val="000000"/>
                <w:sz w:val="22"/>
              </w:rPr>
              <w:t>市直单位（93项）</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lang w:eastAsia="zh"/>
              </w:rPr>
            </w:pPr>
            <w:r>
              <w:rPr>
                <w:rFonts w:hint="default" w:ascii="Times New Roman" w:hAnsi="Times New Roman" w:eastAsia="方正仿宋_GBK" w:cs="Times New Roman"/>
                <w:color w:val="000000"/>
                <w:spacing w:val="0"/>
                <w:kern w:val="0"/>
                <w:sz w:val="22"/>
                <w:lang w:eastAsia="zh"/>
              </w:rPr>
              <w:t>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江门市科技局与广东省半导体产业技术研究院共建广东省半导体产业技术研究院江门中心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广东省科学院半导体研究所</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lang w:eastAsia="zh"/>
              </w:rPr>
              <w:t>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eastAsia="zh-CN" w:bidi="ar-SA"/>
              </w:rPr>
            </w:pPr>
            <w:r>
              <w:rPr>
                <w:rFonts w:hint="default" w:ascii="Times New Roman" w:hAnsi="Times New Roman" w:eastAsia="方正仿宋_GBK" w:cs="Times New Roman"/>
                <w:kern w:val="0"/>
                <w:sz w:val="22"/>
                <w:szCs w:val="22"/>
                <w:lang w:eastAsia="zh-CN" w:bidi="ar-SA"/>
              </w:rPr>
              <w:t>江门市科技馆升级改造</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 w:bidi="ar-SA"/>
              </w:rPr>
            </w:pPr>
            <w:r>
              <w:rPr>
                <w:rFonts w:hint="default" w:ascii="Times New Roman" w:hAnsi="Times New Roman" w:eastAsia="方正仿宋_GBK" w:cs="Times New Roman"/>
                <w:kern w:val="0"/>
                <w:sz w:val="22"/>
                <w:szCs w:val="22"/>
                <w:lang w:eastAsia="zh" w:bidi="ar-SA"/>
              </w:rPr>
              <w:t>江门市青少年宫</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lang w:eastAsia="zh"/>
              </w:rPr>
              <w:t>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数字化环境下儿童“沉浸式”阅读研究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val="en-US" w:eastAsia="zh" w:bidi="ar-SA"/>
              </w:rPr>
              <w:t>江门市图书馆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lang w:eastAsia="zh"/>
              </w:rPr>
              <w:t>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生物炭对蕉园土壤和香蕉生长的影响效应及机制研究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val="en-US" w:eastAsia="zh" w:bidi="ar-SA"/>
              </w:rPr>
              <w:t>江门市农业科技创新中心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lang w:eastAsia="zh"/>
              </w:rPr>
              <w:t>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光电及新能源材料重点实验室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val="en-US"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lang w:eastAsia="zh-CN"/>
              </w:rPr>
              <w:t>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基于拓扑感知的无线传感网络数据聚合方法研究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val="en-US" w:eastAsia="zh" w:bidi="ar-SA"/>
              </w:rPr>
              <w:t>江门开放大学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lang w:val="en-US" w:eastAsia="zh"/>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智慧工地视觉管控关键技术及其应用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val="en-US" w:eastAsia="zh" w:bidi="ar-SA"/>
              </w:rPr>
              <w:t>江门市交通建设投资集团有限公司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val="en-US" w:eastAsia="zh" w:bidi="ar-SA"/>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思维导图在语文专项教学中的应用研究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广东江门幼儿师范高等专科学校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val="en-US" w:eastAsia="zh" w:bidi="ar-SA"/>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正念技术在西藏民族班心理健康教育中的应用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广东江门幼儿师范高等专科学校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val="en-US" w:eastAsia="zh-CN" w:bidi="ar-SA"/>
              </w:rPr>
              <w:t>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自我悲悯团体训练对大专生宿舍人际关系的影响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广东江门幼儿师范高等专科学校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人工智能赋能高职公共英语教学创新的实践研究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广东江门幼儿师范高等专科学校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文化自信背景下高职英语汉英文化双轮驱动教学实践研究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广东江门幼儿师范高等专科学校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幼儿园园长德育能力提升的策略研究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广东江门幼儿师范高等专科学校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“一带一路”背景下华文教育课程思政体系构建之探索</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广东江门幼儿师范高等专科学校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白簕叶总皂苷精制工艺优化及对酪氨酸酶抑制作用研究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提高医药类高职院校学生责任担当意识有效途径研究--以江门市为例</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szCs w:val="22"/>
                <w:lang w:eastAsia="zh-CN" w:bidi="ar-SA"/>
              </w:rPr>
              <w:t>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疫情常态化下高职病原生物与免疫学实验教学改革探究与实践</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高职扩招背景下SPOC教学模式的实践与应用---以《针灸学》为例</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进出口蜂蜜中百里香酚含量的测定</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CN" w:bidi="ar-SA"/>
              </w:rPr>
            </w:pPr>
            <w:r>
              <w:rPr>
                <w:rFonts w:hint="default" w:ascii="Times New Roman" w:hAnsi="Times New Roman" w:eastAsia="方正仿宋_GBK" w:cs="Times New Roman"/>
                <w:kern w:val="0"/>
                <w:sz w:val="22"/>
                <w:szCs w:val="22"/>
                <w:lang w:eastAsia="zh-CN" w:bidi="ar-SA"/>
              </w:rPr>
              <w:t>江门海关技术中心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 w:bidi="ar"/>
              </w:rPr>
            </w:pPr>
            <w:r>
              <w:rPr>
                <w:rFonts w:hint="default" w:ascii="Times New Roman" w:hAnsi="Times New Roman" w:eastAsia="宋体" w:cs="Times New Roman"/>
                <w:i w:val="0"/>
                <w:color w:val="000000"/>
                <w:kern w:val="0"/>
                <w:sz w:val="22"/>
                <w:szCs w:val="22"/>
                <w:u w:val="none"/>
                <w:lang w:val="en-US" w:eastAsia="zh-CN" w:bidi="ar"/>
              </w:rPr>
              <w:t>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广东极端暖区强降水微物理特征及风险预警技术</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CN" w:bidi="ar-SA"/>
              </w:rPr>
            </w:pPr>
            <w:r>
              <w:rPr>
                <w:rFonts w:hint="default" w:ascii="Times New Roman" w:hAnsi="Times New Roman" w:eastAsia="方正仿宋_GBK" w:cs="Times New Roman"/>
                <w:kern w:val="0"/>
                <w:sz w:val="22"/>
                <w:szCs w:val="22"/>
                <w:lang w:eastAsia="zh-CN" w:bidi="ar-SA"/>
              </w:rPr>
              <w:t>江门市气象局</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定量姿势平衡测定对脑卒中后平衡功能障碍康复疗效评价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使用鼻肠管降低神经外科重症患者误吸发生率的循证护理</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基于DTI的tDCS结合计算机辅助训练调控aMCI工作记忆机制研究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老年误吸高风险患者质量管理二级质控体系的建立及应用研究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循证护理在预防白血病患者PICC置管后持续渗血中的应用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新型血管图在血液透析患者动静脉內瘘计划穿刺中的临床效果研究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腕踝针在急性肾绞痛患者中的临床应用研究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基于新型冠状病毒肺炎引起医护人员创伤及应激相关障碍研究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托法替布治疗结缔组织病相关间质性肺病的疗效观察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气管推移训练对颈椎前路减压融合内固定术术后康复影响的研究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基于通径分析和决策树模型下的江门市DIP分值付费可行性分析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知信行健康教育对COPD稳定期主要照顾者照顾行为的影响研究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动静脉內瘘功能评估表在血液透析患者应用中的临床效果观察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不同吸痰深度对喉癌术后气管切开患者效果影响的研究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改良置管法联合心电定位技术预防肿瘤患者PICC隐性脱管的应用研究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双源CT鉴别诊断WHO不同病理分型胸腺上皮来源肿瘤的临床研究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肺康复护理的规范管理在高龄髋部骨折患者中的应用效果研究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粪便脱落细胞ADAMDEC1基因甲基化在人结直肠癌临床早期筛查的应用研究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改良阿扎胞苷皮下注射法在减少注射部位皮下硬结的应用研究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心理危机干预结合强化风险意识对胃肠外科肠造口患者心理弹性及照顾能力的影响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卡格列净治疗2型糖尿病合并糖尿病肾病的疗效观察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罗沙司他治疗维持性血液透析患者肾性贫血的疗效观察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经阴道子宫输卵管四维超声造影对宫外孕保守治疗后输卵管通畅性的评估价值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产房集束化护理干预对无痛分娩产妇产后尿潴留的影响研究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CT测量膀胱壁厚度及前列腺突入膀胱距离在男性膀胱出口梗阻患者中的诊断价值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不同年龄段小儿慢性上腹痛的临床病因及胃镜特点分析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健康教育路径对乳腺癌手术患者及家庭照顾者的应用效果观察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康复志愿者人文关怀支持在乳腺癌手术患者康复中的效果观察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综合ICU患者腹泻危险因素分析及风险预测模型的构建</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西那卡塞联合帕立骨化醇治疗血液透析患者合并继发性甲状旁腺功能亢进的疗效观察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尿素/肌酐比值等客观指标在构建住院患者营养不良风险预测模型的价值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基于医院办公自动化系统的应急管理平台处理应急事件能力研究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电刺激联合生物反馈对产后盆底功能康复的疗效评估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三联预康复对心脏瓣膜置换术后康复效果的研究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高血压病伴室性早搏与心率减速力、心率变异性、心率震荡的相关性</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不重复部位注射阿扎胞苷在治疗中高危骨髓增生异常综合征患者中减轻给药部位疼痛的临床应用研究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基于医院信息平台的单病种质量数据上报系统研究与应用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基于院长办公会议决议事项督办分析应用综合指数法对医院职能科室执行力的研究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CN" w:bidi="ar-SA"/>
              </w:rPr>
            </w:pPr>
            <w:r>
              <w:rPr>
                <w:rFonts w:hint="default" w:ascii="Times New Roman" w:hAnsi="Times New Roman" w:eastAsia="方正仿宋_GBK" w:cs="Times New Roman"/>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基于脊柱稳定性理论下的SET悬吊系统对非特异性下背痛患者的临床应用研究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帕金森病及继发性帕金森综合征伴精神障碍的调查研究及对生活质量的影响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i w:val="0"/>
                <w:color w:val="000000"/>
                <w:spacing w:val="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cs="Times New Roman"/>
                <w:i w:val="0"/>
                <w:color w:val="000000"/>
                <w:kern w:val="0"/>
                <w:sz w:val="22"/>
                <w:szCs w:val="22"/>
                <w:u w:val="none"/>
                <w:lang w:eastAsia="zh-CN" w:bidi="ar"/>
              </w:rPr>
              <w:t>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“三才”视域下五邑中医药文化研究初探</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i w:val="0"/>
                <w:color w:val="000000"/>
                <w:spacing w:val="0"/>
                <w:kern w:val="0"/>
                <w:sz w:val="22"/>
                <w:szCs w:val="22"/>
                <w:u w:val="none"/>
                <w:lang w:eastAsia="zh" w:bidi="ar"/>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外海面保质技术研究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i w:val="0"/>
                <w:color w:val="000000"/>
                <w:spacing w:val="0"/>
                <w:kern w:val="0"/>
                <w:sz w:val="22"/>
                <w:szCs w:val="22"/>
                <w:u w:val="none"/>
                <w:lang w:val="en-US" w:eastAsia="zh" w:bidi="ar"/>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江门市LED灯具发展研究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人乳头瘤病毒疫苗接种对女性人乳头瘤病毒感染的流行病学分布和宫颈病变的影响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经皮氧分压在2型糖尿病周围神经病变中的诊断意义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吲哚氰绿清除试验在脾切除断流术肝功能评估的临床价值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心肺运动试验联合静态肺功能检查评估合并COPD肺癌患者围术期风险的应用研究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心肺运动试验对CRT(D)植入患者心功能评估的临床研究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增强型体外反搏对ST段抬高型急性心肌梗死患者急诊PCI术后再灌注损伤、微循环障碍及心脏功能的保护作用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DRGs付费下江门市三甲综合医院绩效管理系列研究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血栓弹力图对反复种植失败患者的预测价值研究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高糖、利多卡因、维生素B12、地塞米松湿敷疗法对钆喷酸双葡铵所致静脉炎的疗效观察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mTOR通路信号在HER2阴性乳腺导管内癌浸润中的表达及临床意义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应用动态双风险分层评估于分化型甲状腺癌患者术后TSH抑制治疗长期管理中的临床研究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快速康复外科在乳腺癌Ⅰ期假体重建患者围手术期护理应用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投影式红外血管成像仪在门诊输液患者外周静脉穿刺中的应用研究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钮扣洞穿刺法在血液透析中的应用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Rad51在三阴性乳腺癌的表达与肿瘤生物学特征的关系及其临床意义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δ-氨基酮戊酸光动力治疗基底细胞癌的临床研究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江门地区恶性肿瘤患者的生存率及其影响因素分析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影响中低位直肠癌术后预防性肠造口回纳相关因素的分析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Smoothened 、STAT3在不同分子亚型乳腺癌及良性乳腺疾病中的表达及临床意义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成人血液透析患者症状的辨识与其生活质量的相互作用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抗结核治疗疗程对晚期艾滋病合并肺结核病患者治愈率及复发率的影响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胆道内射频消融及支架治疗高位恶性梗阻性黄疸</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运用PDCA管理模式提高首台手术准时开台率的成效观察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bidi="ar-SA"/>
              </w:rPr>
              <w:t>江</w:t>
            </w:r>
            <w:r>
              <w:rPr>
                <w:rFonts w:hint="default" w:ascii="Times New Roman" w:hAnsi="Times New Roman" w:eastAsia="方正仿宋_GBK" w:cs="Times New Roman"/>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弹性成像联合超声造影在甲状腺实质性占位病变鉴别诊断中意义的研究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CN" w:bidi="ar-SA"/>
              </w:rPr>
            </w:pPr>
            <w:r>
              <w:rPr>
                <w:rFonts w:hint="default" w:ascii="Times New Roman" w:hAnsi="Times New Roman" w:eastAsia="方正仿宋_GBK" w:cs="Times New Roman"/>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不同养老方式失智症老年人康复护理的差异性研究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江门市医学工作者对医学统计学认知情况与应用需求分析研究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江门市青少年学生艾滋病高危行为现状与干预效果评价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人体肠道寄生虫检验新技术应用研究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 w:bidi="ar-SA"/>
              </w:rPr>
              <w:t>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江门市突发公共卫生事件应急管理研究——以新型冠状病毒疫情防控为实证</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 w:bidi="ar-SA"/>
              </w:rPr>
            </w:pPr>
            <w:r>
              <w:rPr>
                <w:rFonts w:hint="default" w:ascii="Times New Roman" w:hAnsi="Times New Roman" w:eastAsia="方正仿宋_GBK" w:cs="Times New Roman"/>
                <w:color w:val="000000"/>
                <w:kern w:val="0"/>
                <w:sz w:val="22"/>
                <w:szCs w:val="22"/>
                <w:lang w:eastAsia="zh" w:bidi="ar-SA"/>
              </w:rPr>
              <w:t>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val="en-US" w:eastAsia="zh-CN" w:bidi="ar-SA"/>
              </w:rPr>
              <w:t>江门市慢性病及其危险因素调查研究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kern w:val="0"/>
                <w:sz w:val="22"/>
                <w:szCs w:val="22"/>
                <w:lang w:eastAsia="zh" w:bidi="ar-SA"/>
              </w:rPr>
              <w:t>结题</w:t>
            </w:r>
          </w:p>
        </w:tc>
      </w:tr>
      <w:tr>
        <w:tblPrEx>
          <w:tblLayout w:type="fixed"/>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b/>
                <w:bCs/>
                <w:color w:val="000000"/>
                <w:sz w:val="22"/>
                <w:lang w:eastAsia="zh-CN"/>
              </w:rPr>
              <w:t>蓬江区（4项）</w:t>
            </w:r>
          </w:p>
        </w:tc>
      </w:tr>
      <w:tr>
        <w:tblPrEx>
          <w:tblLayout w:type="fixed"/>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高安全性便捷爆米花机的研发</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江门市升迅科技实业有限公司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基于云计算及定位技术的全场景三维灯光交互系统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江门市华彩立方科技有限公司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江门市4K高清电视与智能多媒体技术重点实验室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广东海信电子有限公司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企鹅圈社区运营平台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江门市华城信息科技有限公司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kern w:val="0"/>
                <w:sz w:val="22"/>
                <w:szCs w:val="22"/>
                <w:lang w:val="en-US" w:eastAsia="zh" w:bidi="ar-SA"/>
              </w:rPr>
            </w:pPr>
            <w:r>
              <w:rPr>
                <w:rFonts w:hint="default" w:ascii="Times New Roman" w:hAnsi="Times New Roman" w:eastAsia="方正仿宋_GBK" w:cs="Times New Roman"/>
                <w:b/>
                <w:bCs/>
                <w:color w:val="000000"/>
                <w:sz w:val="22"/>
                <w:lang w:eastAsia="zh-CN"/>
              </w:rPr>
              <w:t>江海区（5项）</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11"/>
                <w:kern w:val="0"/>
                <w:sz w:val="24"/>
                <w:szCs w:val="24"/>
                <w:u w:val="none"/>
                <w:lang w:val="en-US" w:eastAsia="zh-CN" w:bidi="ar"/>
              </w:rPr>
            </w:pPr>
            <w:r>
              <w:rPr>
                <w:rFonts w:hint="default" w:ascii="Times New Roman" w:hAnsi="Times New Roman" w:eastAsia="方正仿宋_GBK" w:cs="Times New Roman"/>
                <w:i w:val="0"/>
                <w:color w:val="000000"/>
                <w:spacing w:val="-11"/>
                <w:kern w:val="0"/>
                <w:sz w:val="24"/>
                <w:szCs w:val="24"/>
                <w:u w:val="none"/>
                <w:lang w:val="en-US" w:eastAsia="zh-CN" w:bidi="ar"/>
              </w:rPr>
              <w:t>不同血液处理方式对直接化学发光法检测TSH的影响研究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江门市江海区人民医院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 w:bidi="ar"/>
              </w:rPr>
            </w:pPr>
            <w:r>
              <w:rPr>
                <w:rFonts w:hint="default" w:ascii="Times New Roman" w:hAnsi="Times New Roman" w:eastAsia="方正仿宋_GBK" w:cs="Times New Roman"/>
                <w:i w:val="0"/>
                <w:color w:val="00000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颈动脉药物加压灌注治疗前循环脑梗死与后循环脑梗死的临床疗效对比</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江门市江海区人民医院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广东省智能制造研究所江门中心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江门市德泓装备技术有限公司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 w:bidi="ar"/>
              </w:rPr>
            </w:pPr>
            <w:r>
              <w:rPr>
                <w:rFonts w:hint="default" w:ascii="Times New Roman" w:hAnsi="Times New Roman" w:eastAsia="方正仿宋_GBK" w:cs="Times New Roman"/>
                <w:i w:val="0"/>
                <w:color w:val="00000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江门市新型线路板技术企业重点实验室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4"/>
                <w:szCs w:val="24"/>
                <w:u w:val="none"/>
                <w:lang w:eastAsia="zh-CN" w:bidi="ar"/>
              </w:rPr>
            </w:pPr>
            <w:r>
              <w:rPr>
                <w:rFonts w:hint="default" w:ascii="Times New Roman" w:hAnsi="Times New Roman" w:eastAsia="方正仿宋_GBK" w:cs="Times New Roman"/>
                <w:i w:val="0"/>
                <w:color w:val="000000"/>
                <w:kern w:val="0"/>
                <w:sz w:val="24"/>
                <w:szCs w:val="24"/>
                <w:u w:val="none"/>
                <w:lang w:eastAsia="zh-CN" w:bidi="ar"/>
              </w:rPr>
              <w:t>江门荣信电路板有限公司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 w:bidi="ar"/>
              </w:rPr>
            </w:pPr>
            <w:r>
              <w:rPr>
                <w:rFonts w:hint="default" w:ascii="Times New Roman" w:hAnsi="Times New Roman" w:eastAsia="方正仿宋_GBK" w:cs="Times New Roman"/>
                <w:i w:val="0"/>
                <w:color w:val="00000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水龙头产品高速铣削机器人系统关键技术研究与装备产业化</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4"/>
                <w:szCs w:val="24"/>
                <w:u w:val="none"/>
                <w:lang w:eastAsia="zh-CN" w:bidi="ar"/>
              </w:rPr>
            </w:pPr>
            <w:r>
              <w:rPr>
                <w:rFonts w:hint="default" w:ascii="Times New Roman" w:hAnsi="Times New Roman" w:eastAsia="方正仿宋_GBK" w:cs="Times New Roman"/>
                <w:i w:val="0"/>
                <w:color w:val="000000"/>
                <w:kern w:val="0"/>
                <w:sz w:val="24"/>
                <w:szCs w:val="24"/>
                <w:u w:val="none"/>
                <w:lang w:eastAsia="zh-CN" w:bidi="ar"/>
              </w:rPr>
              <w:t>江门市亚泰智能抛磨科技有限公司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 w:bidi="ar"/>
              </w:rPr>
            </w:pPr>
            <w:r>
              <w:rPr>
                <w:rFonts w:hint="default" w:ascii="Times New Roman" w:hAnsi="Times New Roman" w:eastAsia="方正仿宋_GBK" w:cs="Times New Roman"/>
                <w:i w:val="0"/>
                <w:color w:val="000000"/>
                <w:kern w:val="0"/>
                <w:sz w:val="22"/>
                <w:szCs w:val="22"/>
                <w:u w:val="none"/>
                <w:lang w:eastAsia="zh" w:bidi="ar"/>
              </w:rPr>
              <w:t>通过</w:t>
            </w:r>
          </w:p>
        </w:tc>
      </w:tr>
      <w:tr>
        <w:tblPrEx>
          <w:tblLayout w:type="fixed"/>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color w:val="000000"/>
                <w:kern w:val="0"/>
                <w:sz w:val="24"/>
                <w:szCs w:val="24"/>
                <w:u w:val="none"/>
                <w:lang w:eastAsia="zh-CN" w:bidi="ar"/>
              </w:rPr>
            </w:pPr>
            <w:r>
              <w:rPr>
                <w:rFonts w:hint="default" w:ascii="Times New Roman" w:hAnsi="Times New Roman" w:eastAsia="方正仿宋_GBK" w:cs="Times New Roman"/>
                <w:b/>
                <w:bCs/>
                <w:color w:val="000000"/>
                <w:sz w:val="22"/>
                <w:lang w:eastAsia="zh-CN"/>
              </w:rPr>
              <w:t>新会区（21项）</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江门市高能量干电池工程技术研究中心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江门市生力实业有限公司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江门市不锈钢多层煲产品工程技术研究中心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江门市新会区司前镇达美五金制品厂</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大型耐磨蚀、抗积灰特种换热设备的模块化“智”造关键技术研发及应用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新会双水发电（B厂）有限公司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城市低温食品无人值守智能售卖系统及装备</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江门市新会区康美制品有限公司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广东省高性能油脂制品工程技术研究中心资助项目</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广东省新会嘉利油脂有限公司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采用VAS和JOA双评法探讨消肿化瘀膏治疗骨性关节炎的临床疗效</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江门市新会区司前人民医院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无痛分娩联合会阴无保护在促进初产妇自然分娩中的应用分娩</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江门市新会区第二人民医院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小剂量阿米替林联合综合心理干预对功能性消化不良合并焦虑抑郁患者的疗效观察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江门市新会区第二人民医院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江门市新会区儿童遗尿症的流行病学问卷调查研究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支气管镜下应用吸入用盐酸氨溴索肺泡灌洗治疗在儿童社区获得性肺炎的疗效观察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江门市新会区高二年级学生潜伏性结核感染现状调查分析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温针督脉联合归脾汤对气血虚型眩晕患者椎_基底动脉血流动力的影响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便捷流动咽拭子采样车在临床应用的分析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自制护托预防神经外科偏瘫患者足下垂的效果观察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内镜下粘膜下注射联合止血夹治疗消化性溃疡并出血疗效及预后的临床研究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经鼻高流量湿化氧疗联合支气管镜下肺泡灌洗治疗AECOPD并肺部感染疗效观察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关节镜套在膀胱灌注化疗药物操作中的应用探索</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脑部CT及MRI在脑血管取栓术的评估应用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智能穿戴设备辅助监测在危重症患者睡眠管理的临床应用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流程化管理在门诊无菌物品管理中的应用研究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七式脾胃养生操的创编与视频制作</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江门市新会区中医院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eastAsia="zh-CN" w:bidi="ar"/>
              </w:rPr>
              <w:t>通过</w:t>
            </w:r>
          </w:p>
        </w:tc>
      </w:tr>
      <w:tr>
        <w:tblPrEx>
          <w:tblLayout w:type="fixed"/>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color w:val="000000"/>
                <w:kern w:val="0"/>
                <w:sz w:val="24"/>
                <w:szCs w:val="24"/>
                <w:lang w:eastAsia="zh-CN" w:bidi="ar-SA"/>
              </w:rPr>
            </w:pPr>
            <w:r>
              <w:rPr>
                <w:rFonts w:hint="default" w:ascii="Times New Roman" w:hAnsi="Times New Roman" w:eastAsia="方正仿宋_GBK" w:cs="Times New Roman"/>
                <w:b/>
                <w:bCs/>
                <w:color w:val="000000"/>
                <w:sz w:val="22"/>
                <w:lang w:eastAsia="zh-CN"/>
              </w:rPr>
              <w:t>台山市（12项）</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kern w:val="0"/>
                <w:sz w:val="22"/>
                <w:szCs w:val="22"/>
                <w:lang w:val="en-US" w:eastAsia="zh-CN" w:bidi="ar-SA"/>
              </w:rPr>
              <w:t>86寸以上电容式触摸屏(搭配主动笔)项目</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广东泰奇克光电科技有限公司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思维导图对新型冠状病毒肺炎疫情下患者护理管理质量的影响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eastAsia="zh-CN" w:bidi="ar"/>
              </w:rPr>
            </w:pPr>
            <w:r>
              <w:rPr>
                <w:rFonts w:hint="default" w:ascii="Times New Roman" w:hAnsi="Times New Roman" w:eastAsia="方正仿宋_GBK" w:cs="Times New Roman"/>
                <w:i w:val="0"/>
                <w:color w:val="000000"/>
                <w:spacing w:val="0"/>
                <w:kern w:val="0"/>
                <w:sz w:val="24"/>
                <w:szCs w:val="24"/>
                <w:u w:val="none"/>
                <w:lang w:eastAsia="zh-CN" w:bidi="ar"/>
              </w:rPr>
              <w:t>甲状腺激素、AMH和Fsh/LH水平与女性不孕不育的临床相关性研究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负压组合式硬管镜（硕通镜）联合输尿管软镜治疗&lt;3cm无积水肾结石的安全性和疗效观察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台山市第二人民医院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核仁素（Nucleolin）的表达定位和定量在鼻咽癌演变、生物学行为的临床病理特征相关性的研究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超早期支架辅助栓塞颅内破裂动脉瘤的安全性及疗效</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追踪方法学在静脉治疗护理管理中的应用研究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前庭康复联合高压氧治疗急性小脑梗死所致共济失调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超声动态监测神经重症去骨瓣减压患者救治中的应用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移动医疗对早发型子痫前期产妇进行产后延续护理的应用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铝合金衣架自动生产装置</w:t>
            </w:r>
            <w:r>
              <w:rPr>
                <w:rFonts w:hint="default" w:ascii="Times New Roman" w:hAnsi="Times New Roman" w:eastAsia="方正仿宋_GBK" w:cs="Times New Roman"/>
                <w:i w:val="0"/>
                <w:color w:val="000000"/>
                <w:spacing w:val="0"/>
                <w:kern w:val="0"/>
                <w:sz w:val="24"/>
                <w:szCs w:val="24"/>
                <w:u w:val="none"/>
                <w:lang w:val="en-US" w:eastAsia="zh-CN" w:bidi="ar"/>
              </w:rPr>
              <w:tab/>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台山市万力达金属制品科技有限公司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经皮椎间孔镜椎板间直接法治疗L5/S1腰椎间盘突出症的临床研究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结题</w:t>
            </w:r>
          </w:p>
        </w:tc>
      </w:tr>
      <w:tr>
        <w:tblPrEx>
          <w:tblLayout w:type="fixed"/>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b/>
                <w:bCs/>
                <w:color w:val="000000"/>
                <w:sz w:val="22"/>
                <w:lang w:eastAsia="zh-CN"/>
              </w:rPr>
              <w:t>鹤山市（1项）</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小针刀疗法治疗颈肩腰腿痛对患者的临床疗效及疼痛方面的效果研究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ab/>
            </w:r>
            <w:r>
              <w:rPr>
                <w:rFonts w:hint="default" w:ascii="Times New Roman" w:hAnsi="Times New Roman" w:eastAsia="方正仿宋_GBK" w:cs="Times New Roman"/>
                <w:i w:val="0"/>
                <w:color w:val="000000"/>
                <w:spacing w:val="0"/>
                <w:kern w:val="0"/>
                <w:sz w:val="24"/>
                <w:szCs w:val="24"/>
                <w:u w:val="none"/>
                <w:lang w:val="en-US" w:eastAsia="zh-CN" w:bidi="ar"/>
              </w:rPr>
              <w:t>鹤山市中医院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结题</w:t>
            </w:r>
          </w:p>
        </w:tc>
      </w:tr>
      <w:tr>
        <w:tblPrEx>
          <w:tblLayout w:type="fixed"/>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color w:val="000000"/>
                <w:kern w:val="0"/>
                <w:sz w:val="24"/>
                <w:szCs w:val="24"/>
                <w:u w:val="none"/>
                <w:lang w:eastAsia="zh-CN" w:bidi="ar"/>
              </w:rPr>
            </w:pPr>
            <w:r>
              <w:rPr>
                <w:rFonts w:hint="default" w:ascii="Times New Roman" w:hAnsi="Times New Roman" w:eastAsia="方正仿宋_GBK" w:cs="Times New Roman"/>
                <w:b/>
                <w:bCs/>
                <w:color w:val="000000"/>
                <w:sz w:val="22"/>
                <w:lang w:eastAsia="zh-CN"/>
              </w:rPr>
              <w:t>恩平市（10项）</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德谷胰岛素与甘精胰岛素对2型糖尿病患者TIR的影响的对比研究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恩平市人民医院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eastAsia="zh-CN" w:bidi="ar"/>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针对性护理干预对脑干梗死致吞咽功能障碍患者预后康复的影响研究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恩平市人民医院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江门市智能液压机械设备工程技术研究中心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江门市金丰机械制造有限公司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江门市沐浴洗涤用品工程技术研究中心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恩平安益日化有限公司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江门市精密机械零部件工程技术研究中心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恩平市金铭机械制造有限公司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江门市活性纳米碳酸钙工程技术研究中心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恩平白翠华实业有限公司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江门市新型环保纳米碳酸钙工程技术研究中心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广东汇雄实业投资有限公司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江门市建筑陶瓷制备工程技术研究中心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广东荣高陶瓷有限公司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江门市环保全植鞣皮革工程技术研究开发中心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恩平瑞昌制革有限公司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通过</w:t>
            </w:r>
          </w:p>
        </w:tc>
      </w:tr>
      <w:tr>
        <w:tblPrEx>
          <w:tblLayout w:type="fixed"/>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江门市活猪智能化养殖工程技术研究中心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pacing w:val="0"/>
                <w:kern w:val="0"/>
                <w:sz w:val="24"/>
                <w:szCs w:val="24"/>
                <w:u w:val="none"/>
                <w:lang w:val="en-US" w:eastAsia="zh-CN" w:bidi="ar"/>
              </w:rPr>
            </w:pPr>
            <w:r>
              <w:rPr>
                <w:rFonts w:hint="default" w:ascii="Times New Roman" w:hAnsi="Times New Roman" w:eastAsia="方正仿宋_GBK" w:cs="Times New Roman"/>
                <w:i w:val="0"/>
                <w:color w:val="000000"/>
                <w:spacing w:val="0"/>
                <w:kern w:val="0"/>
                <w:sz w:val="24"/>
                <w:szCs w:val="24"/>
                <w:u w:val="none"/>
                <w:lang w:val="en-US" w:eastAsia="zh-CN" w:bidi="ar"/>
              </w:rPr>
              <w:t>恩平市东骏农业有限公司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结题</w:t>
            </w:r>
          </w:p>
        </w:tc>
      </w:tr>
      <w:bookmarkEnd w:id="0"/>
    </w:tbl>
    <w:p/>
    <w:sectPr>
      <w:pgSz w:w="11906" w:h="16838"/>
      <w:pgMar w:top="1020" w:right="1800" w:bottom="6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550E98"/>
    <w:rsid w:val="037C9781"/>
    <w:rsid w:val="173BE705"/>
    <w:rsid w:val="1B7FD4FE"/>
    <w:rsid w:val="1D71ABC8"/>
    <w:rsid w:val="26AB19E9"/>
    <w:rsid w:val="2CFB17F1"/>
    <w:rsid w:val="36FF4BFE"/>
    <w:rsid w:val="3B7BA9DA"/>
    <w:rsid w:val="3CFBD0EF"/>
    <w:rsid w:val="3E0DEDCB"/>
    <w:rsid w:val="3EF6D84D"/>
    <w:rsid w:val="3FE72CA6"/>
    <w:rsid w:val="3FFF194D"/>
    <w:rsid w:val="4DEE4CBF"/>
    <w:rsid w:val="55DB4B37"/>
    <w:rsid w:val="56DF2DCE"/>
    <w:rsid w:val="5D2F0021"/>
    <w:rsid w:val="5D7D638E"/>
    <w:rsid w:val="5FBE5F78"/>
    <w:rsid w:val="621E6401"/>
    <w:rsid w:val="63BFD3E1"/>
    <w:rsid w:val="65FC08EE"/>
    <w:rsid w:val="69FFEBFD"/>
    <w:rsid w:val="6DEF8C86"/>
    <w:rsid w:val="6F370E47"/>
    <w:rsid w:val="6FFE7865"/>
    <w:rsid w:val="73B7739E"/>
    <w:rsid w:val="75F957C9"/>
    <w:rsid w:val="769F4252"/>
    <w:rsid w:val="76CF79BC"/>
    <w:rsid w:val="7AFFD2DC"/>
    <w:rsid w:val="7B7B31CF"/>
    <w:rsid w:val="7BF9622B"/>
    <w:rsid w:val="7BFE3503"/>
    <w:rsid w:val="7BFEEB93"/>
    <w:rsid w:val="7BFFBFEC"/>
    <w:rsid w:val="7EFD7FEE"/>
    <w:rsid w:val="7F6EE8E5"/>
    <w:rsid w:val="7F77DF37"/>
    <w:rsid w:val="7F9F286A"/>
    <w:rsid w:val="7FB1C1EF"/>
    <w:rsid w:val="7FDDF3E7"/>
    <w:rsid w:val="7FEBC509"/>
    <w:rsid w:val="7FF29F26"/>
    <w:rsid w:val="7FFB337B"/>
    <w:rsid w:val="7FFF0A04"/>
    <w:rsid w:val="8BE14244"/>
    <w:rsid w:val="A77E42B2"/>
    <w:rsid w:val="AB3B09CB"/>
    <w:rsid w:val="AFAFC8C4"/>
    <w:rsid w:val="B7F7D113"/>
    <w:rsid w:val="BADBCD22"/>
    <w:rsid w:val="BF2E5ED8"/>
    <w:rsid w:val="BF676B63"/>
    <w:rsid w:val="C3BF0829"/>
    <w:rsid w:val="CEEF895E"/>
    <w:rsid w:val="D5550E98"/>
    <w:rsid w:val="DBF9E318"/>
    <w:rsid w:val="DBFB1E1C"/>
    <w:rsid w:val="DD7F2C0C"/>
    <w:rsid w:val="DDDE3462"/>
    <w:rsid w:val="E71F74D8"/>
    <w:rsid w:val="E9BEE489"/>
    <w:rsid w:val="E9DBE064"/>
    <w:rsid w:val="EF3E9273"/>
    <w:rsid w:val="EF6F06EF"/>
    <w:rsid w:val="EFBB76ED"/>
    <w:rsid w:val="EFFC5223"/>
    <w:rsid w:val="F2FE8B1B"/>
    <w:rsid w:val="F6DFF8AD"/>
    <w:rsid w:val="F7B7AD87"/>
    <w:rsid w:val="F7E76897"/>
    <w:rsid w:val="F7EF0E92"/>
    <w:rsid w:val="F975CF4E"/>
    <w:rsid w:val="FA9A51C6"/>
    <w:rsid w:val="FAFF45DE"/>
    <w:rsid w:val="FBFEAA7F"/>
    <w:rsid w:val="FCDF05B6"/>
    <w:rsid w:val="FD9F29ED"/>
    <w:rsid w:val="FDFD48C3"/>
    <w:rsid w:val="FDFF49A3"/>
    <w:rsid w:val="FEFD72D9"/>
    <w:rsid w:val="FEFEB2D2"/>
    <w:rsid w:val="FF7BC89E"/>
    <w:rsid w:val="FF8B6358"/>
    <w:rsid w:val="FFBF2D1F"/>
    <w:rsid w:val="FFDEC902"/>
    <w:rsid w:val="FFF7DCDA"/>
    <w:rsid w:val="FFFF6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5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2023-01-31T02:57:00Z</dcterms:created>
  <dc:creator>uos</dc:creator>
  <cp:lastModifiedBy>向暖</cp:lastModifiedBy>
  <dcterms:modified xsi:type="dcterms:W3CDTF">2023-11-03T03:06:03Z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