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879CD">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w:t>
      </w:r>
      <w:r>
        <w:rPr>
          <w:sz w:val="84"/>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-760730</wp:posOffset>
                </wp:positionV>
                <wp:extent cx="1376045" cy="412750"/>
                <wp:effectExtent l="0" t="0" r="14605" b="6350"/>
                <wp:wrapNone/>
                <wp:docPr id="5" name="文本框 5"/>
                <wp:cNvGraphicFramePr/>
                <a:graphic xmlns:a="http://schemas.openxmlformats.org/drawingml/2006/main">
                  <a:graphicData uri="http://schemas.microsoft.com/office/word/2010/wordprocessingShape">
                    <wps:wsp>
                      <wps:cNvSpPr txBox="1"/>
                      <wps:spPr>
                        <a:xfrm>
                          <a:off x="0" y="0"/>
                          <a:ext cx="1376045" cy="412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A48EF70">
                            <w:pPr>
                              <w:rPr>
                                <w:rFonts w:hint="eastAsia" w:ascii="黑体" w:hAnsi="黑体" w:eastAsia="黑体" w:cs="黑体"/>
                                <w:sz w:val="32"/>
                                <w:szCs w:val="3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pt;margin-top:-59.9pt;height:32.5pt;width:108.35pt;z-index:251661312;mso-width-relative:page;mso-height-relative:page;" fillcolor="#FFFFFF [3201]" filled="t" stroked="f" coordsize="21600,21600" o:gfxdata="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9yfW3XAAAACwEAAA8AAAAA&#10;AAAAAQAgAAAAIgAAAGRycy9kb3ducmV2LnhtbFBLAQIUABQAAAAIAIdO4kD9cxONTgIAAI8EAAAO&#10;AAAAAAAAAAEAIAAAACYBAABkcnMvZTJvRG9jLnhtbFBLBQYAAAAABgAGAFkBAADmBQAAAAA=&#10;">
                <v:fill on="t" focussize="0,0"/>
                <v:stroke on="f" weight="0.5pt"/>
                <v:imagedata o:title=""/>
                <o:lock v:ext="edit" aspectratio="f"/>
                <v:textbox>
                  <w:txbxContent>
                    <w:p w14:paraId="5A48EF70">
                      <w:pPr>
                        <w:rPr>
                          <w:rFonts w:hint="eastAsia" w:ascii="黑体" w:hAnsi="黑体" w:eastAsia="黑体" w:cs="黑体"/>
                          <w:sz w:val="32"/>
                          <w:szCs w:val="32"/>
                          <w:lang w:eastAsia="zh-CN"/>
                        </w:rPr>
                      </w:pPr>
                    </w:p>
                  </w:txbxContent>
                </v:textbox>
              </v:shape>
            </w:pict>
          </mc:Fallback>
        </mc:AlternateContent>
      </w:r>
      <w:r>
        <w:rPr>
          <w:rFonts w:hint="eastAsia" w:ascii="文鼎CS大宋" w:hAnsi="Times New Roman" w:eastAsia="文鼎CS大宋" w:cs="Times New Roman"/>
          <w:color w:val="FF0000"/>
          <w:spacing w:val="119"/>
          <w:w w:val="95"/>
          <w:sz w:val="84"/>
          <w:szCs w:val="84"/>
        </w:rPr>
        <w:t>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58D499FD">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ascii="方正小标宋_GBK" w:hAnsi="方正小标宋_GBK" w:eastAsia="方正小标宋_GBK" w:cs="方正小标宋_GBK"/>
          <w:bCs/>
          <w:sz w:val="44"/>
          <w:szCs w:val="44"/>
        </w:rPr>
      </w:pPr>
    </w:p>
    <w:p w14:paraId="5C474FBD">
      <w:pPr>
        <w:keepNext w:val="0"/>
        <w:keepLines w:val="0"/>
        <w:pageBreakBefore w:val="0"/>
        <w:widowControl w:val="0"/>
        <w:kinsoku/>
        <w:overflowPunct/>
        <w:topLinePunct w:val="0"/>
        <w:autoSpaceDE/>
        <w:autoSpaceDN/>
        <w:bidi w:val="0"/>
        <w:adjustRightInd w:val="0"/>
        <w:snapToGrid w:val="0"/>
        <w:spacing w:line="576"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21EB5EAB">
      <w:pPr>
        <w:keepNext w:val="0"/>
        <w:keepLines w:val="0"/>
        <w:pageBreakBefore w:val="0"/>
        <w:overflowPunct/>
        <w:topLinePunct w:val="0"/>
        <w:bidi w:val="0"/>
        <w:adjustRightInd w:val="0"/>
        <w:snapToGrid w:val="0"/>
        <w:spacing w:line="576"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0F8F8C64">
      <w:pPr>
        <w:keepNext w:val="0"/>
        <w:keepLines w:val="0"/>
        <w:pageBreakBefore w:val="0"/>
        <w:overflowPunct/>
        <w:topLinePunct w:val="0"/>
        <w:bidi w:val="0"/>
        <w:adjustRightInd w:val="0"/>
        <w:snapToGrid w:val="0"/>
        <w:spacing w:line="576" w:lineRule="exact"/>
        <w:ind w:left="0" w:leftChars="0"/>
      </w:pPr>
    </w:p>
    <w:p w14:paraId="34DB0B19">
      <w:pPr>
        <w:keepNext w:val="0"/>
        <w:keepLines w:val="0"/>
        <w:pageBreakBefore w:val="0"/>
        <w:wordWrap w:val="0"/>
        <w:overflowPunct/>
        <w:topLinePunct w:val="0"/>
        <w:bidi w:val="0"/>
        <w:adjustRightInd w:val="0"/>
        <w:snapToGrid w:val="0"/>
        <w:spacing w:line="576"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31</w:t>
      </w:r>
      <w:r>
        <w:rPr>
          <w:rFonts w:hint="eastAsia" w:ascii="仿宋_GB2312" w:hAnsi="仿宋_GB2312" w:eastAsia="仿宋_GB2312" w:cs="仿宋_GB2312"/>
          <w:spacing w:val="-1"/>
          <w:sz w:val="32"/>
          <w:szCs w:val="32"/>
        </w:rPr>
        <w:t>号</w:t>
      </w:r>
    </w:p>
    <w:p w14:paraId="36C25B34">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25DFF11D">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当事人：江门市口腔医院</w:t>
      </w:r>
    </w:p>
    <w:p w14:paraId="0907EB01">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统一社会信用代码：12440700456174121M</w:t>
      </w:r>
    </w:p>
    <w:p w14:paraId="693C55D5">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法定代表人：谢佐理</w:t>
      </w:r>
    </w:p>
    <w:p w14:paraId="7EB3BC9B">
      <w:pPr>
        <w:keepNext w:val="0"/>
        <w:keepLines w:val="0"/>
        <w:pageBreakBefore w:val="0"/>
        <w:widowControl w:val="0"/>
        <w:kinsoku/>
        <w:overflowPunct/>
        <w:topLinePunct w:val="0"/>
        <w:autoSpaceDE/>
        <w:autoSpaceDN/>
        <w:bidi w:val="0"/>
        <w:adjustRightInd w:val="0"/>
        <w:snapToGrid w:val="0"/>
        <w:spacing w:line="576" w:lineRule="exact"/>
        <w:ind w:left="0" w:leftChars="0" w:firstLine="0" w:firstLineChars="0"/>
        <w:jc w:val="both"/>
        <w:textAlignment w:val="auto"/>
        <w:rPr>
          <w:rFonts w:hint="eastAsia" w:ascii="黑体" w:hAnsi="黑体" w:eastAsia="黑体" w:cs="黑体"/>
          <w:spacing w:val="8"/>
          <w:position w:val="4"/>
          <w:sz w:val="32"/>
          <w:szCs w:val="32"/>
        </w:rPr>
      </w:pPr>
      <w:r>
        <w:rPr>
          <w:rFonts w:hint="eastAsia" w:ascii="仿宋_GB2312" w:hAnsi="仿宋" w:eastAsia="仿宋_GB2312" w:cs="Times New Roman"/>
          <w:snapToGrid/>
          <w:kern w:val="2"/>
          <w:sz w:val="32"/>
          <w:szCs w:val="32"/>
        </w:rPr>
        <w:t>地址：江门市蓬江区永利街4号</w:t>
      </w:r>
    </w:p>
    <w:p w14:paraId="124314AA">
      <w:pPr>
        <w:keepNext w:val="0"/>
        <w:keepLines w:val="0"/>
        <w:pageBreakBefore w:val="0"/>
        <w:overflowPunct/>
        <w:topLinePunct w:val="0"/>
        <w:autoSpaceDE/>
        <w:autoSpaceDN/>
        <w:bidi w:val="0"/>
        <w:adjustRightInd w:val="0"/>
        <w:snapToGrid w:val="0"/>
        <w:spacing w:line="576" w:lineRule="exact"/>
        <w:ind w:left="0" w:leftChars="0" w:firstLine="672" w:firstLineChars="200"/>
        <w:rPr>
          <w:rFonts w:ascii="黑体" w:hAnsi="黑体" w:eastAsia="黑体" w:cs="黑体"/>
          <w:spacing w:val="8"/>
          <w:position w:val="4"/>
          <w:sz w:val="32"/>
          <w:szCs w:val="32"/>
        </w:rPr>
      </w:pPr>
    </w:p>
    <w:p w14:paraId="426199DD">
      <w:pPr>
        <w:keepNext w:val="0"/>
        <w:keepLines w:val="0"/>
        <w:pageBreakBefore w:val="0"/>
        <w:overflowPunct/>
        <w:topLinePunct w:val="0"/>
        <w:autoSpaceDE/>
        <w:autoSpaceDN/>
        <w:bidi w:val="0"/>
        <w:adjustRightInd w:val="0"/>
        <w:snapToGrid w:val="0"/>
        <w:spacing w:line="576"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331694DD">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2024年6月7日，我局执法人员对你单位进行检查，发现你单位存在以下环境违法行为：</w:t>
      </w:r>
    </w:p>
    <w:p w14:paraId="1DD96314">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你单位主要从事口腔临床诊疗等项目。现场检查发现有7台放射诊疗设备，即牙片机（型号RAY68(M））3台，口腔CBCT(型号3D eXam i、Giano、OP 3D Vision)3台，全景机（型号X550）1台。根据你单位医疗管理系统导出的数据等显示，2023年、2024年有使用过上述牙片机（型号RAY68(M））、口腔CBCT(型号3D eXam i、Giano、OP 3D Vision)等设备，但我局执法人员通过“国家核技术利用辐射安全监管系统”未能查询到你单位提交2023年度放射性同位素与射线装置的安全和防护状况的年度评估报告，即你单位存在未在1月31日前向发证机关提交上一年度的放射性同位素与射线装置安全和防护状况年度评估报告的违法行为。</w:t>
      </w:r>
    </w:p>
    <w:p w14:paraId="0169D4A5">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以上事实，有以下主要证据证明：</w:t>
      </w:r>
    </w:p>
    <w:p w14:paraId="5A256BE9">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1.2024年6月7日我局执法人员现场检查所作的《江门市生态环境局现场检查（勘察）记录》。</w:t>
      </w:r>
    </w:p>
    <w:p w14:paraId="0DC4A7AC">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2.2024年6月7日我局执法人员现场检查所作的《江门市生态环境局调查询问笔录》。</w:t>
      </w:r>
    </w:p>
    <w:p w14:paraId="26C02EA7">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3.2024年6月7日我局执法人员现场检查时所拍摄的视频资料和照片资料。</w:t>
      </w:r>
    </w:p>
    <w:p w14:paraId="36D54883">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4.2024年6月7日我局执法人员现场在你单位调取的医疗管理系统截图。</w:t>
      </w:r>
    </w:p>
    <w:p w14:paraId="384352CF">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5.2024年6月7日提供的谢佐理身份证复印件。</w:t>
      </w:r>
    </w:p>
    <w:p w14:paraId="55856941">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证据1、2、3、4、5证明你单位、法定代表人谢佐理、办公室主任于</w:t>
      </w:r>
      <w:r>
        <w:rPr>
          <w:rFonts w:hint="eastAsia" w:ascii="仿宋_GB2312" w:hAnsi="仿宋" w:eastAsia="仿宋_GB2312" w:cs="Times New Roman"/>
          <w:snapToGrid/>
          <w:kern w:val="2"/>
          <w:sz w:val="32"/>
          <w:szCs w:val="32"/>
          <w:lang w:val="en-US" w:eastAsia="zh-CN"/>
        </w:rPr>
        <w:t>X</w:t>
      </w:r>
      <w:r>
        <w:rPr>
          <w:rFonts w:hint="eastAsia" w:ascii="仿宋_GB2312" w:hAnsi="仿宋" w:eastAsia="仿宋_GB2312" w:cs="Times New Roman"/>
          <w:snapToGrid/>
          <w:kern w:val="2"/>
          <w:sz w:val="32"/>
          <w:szCs w:val="32"/>
        </w:rPr>
        <w:t>欣的主体信息以及你单位一楼及牙片、口腔CT、全景室共有放射诊疗设备7台，其中，牙片机（型号RAY68(M））3台，口腔CBCT(型号3D eXam i、Giano、OP 3D Vision)3台，全景机（型号X550）1台，现场未能提交其2023年放射性同位素与射线装置的安全和防护状况年度评估。</w:t>
      </w:r>
    </w:p>
    <w:p w14:paraId="76315126">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6.2024年6月7日签署的《授权委托书》。证明你单位同意授权委托于</w:t>
      </w:r>
      <w:r>
        <w:rPr>
          <w:rFonts w:hint="eastAsia" w:ascii="仿宋_GB2312" w:hAnsi="仿宋" w:eastAsia="仿宋_GB2312" w:cs="Times New Roman"/>
          <w:snapToGrid/>
          <w:kern w:val="2"/>
          <w:sz w:val="32"/>
          <w:szCs w:val="32"/>
          <w:lang w:val="en-US" w:eastAsia="zh-CN"/>
        </w:rPr>
        <w:t>X</w:t>
      </w:r>
      <w:bookmarkStart w:id="0" w:name="_GoBack"/>
      <w:bookmarkEnd w:id="0"/>
      <w:r>
        <w:rPr>
          <w:rFonts w:hint="eastAsia" w:ascii="仿宋_GB2312" w:hAnsi="仿宋" w:eastAsia="仿宋_GB2312" w:cs="Times New Roman"/>
          <w:snapToGrid/>
          <w:kern w:val="2"/>
          <w:sz w:val="32"/>
          <w:szCs w:val="32"/>
        </w:rPr>
        <w:t>欣协助我局开展执法调查等工作</w:t>
      </w:r>
    </w:p>
    <w:p w14:paraId="0BFEA15F">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rPr>
        <w:t>7.2024年6月13日签署的《江门市生态环境局当事人送达地址确认书》。</w:t>
      </w:r>
    </w:p>
    <w:p w14:paraId="6632FD46">
      <w:pPr>
        <w:keepNext w:val="0"/>
        <w:keepLines w:val="0"/>
        <w:pageBreakBefore w:val="0"/>
        <w:widowControl w:val="0"/>
        <w:numPr>
          <w:ilvl w:val="0"/>
          <w:numId w:val="1"/>
        </w:numPr>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59CD5136">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放射性同位素与射线装置安全和防护管理办法》第十二条第一款“生产、销售、使用放射性同位素与射线装置的单位，应当对本单位的放射性同位素与射线装置的安全和防护状况进行年度评估，并于每年1月31日前向发证机关提交上一年度的评估报告。”的规定，依据《放射性同位素与射线装置安全和防护管理办法》第五十五条第二项“违反本办法规定，生产、销售、使用放射性同位素与射线装置的单位有下列行为之一的，由原辐射安全许可证发证机关给予警告，责令限期改正；逾期不改正的，处一万元以上三万元以下的罚款。......（二）未按规定时间报送安全和防护状况年度评估报告的；......”的规定，</w:t>
      </w:r>
      <w:r>
        <w:rPr>
          <w:rFonts w:hint="eastAsia" w:ascii="仿宋_GB2312" w:hAnsi="仿宋_GB2312" w:eastAsia="仿宋_GB2312" w:cs="仿宋_GB2312"/>
          <w:b/>
          <w:bCs/>
          <w:sz w:val="32"/>
          <w:szCs w:val="32"/>
        </w:rPr>
        <w:t>我局责令你单位自收到本决定书之日起30日内报送2023年度放射性同位素与射线装置安全和防护状况的年度评估报告。</w:t>
      </w:r>
    </w:p>
    <w:p w14:paraId="3D23777F">
      <w:pPr>
        <w:keepNext w:val="0"/>
        <w:keepLines w:val="0"/>
        <w:pageBreakBefore w:val="0"/>
        <w:widowControl w:val="0"/>
        <w:kinsoku/>
        <w:overflowPunct/>
        <w:topLinePunct w:val="0"/>
        <w:autoSpaceDE/>
        <w:autoSpaceDN/>
        <w:bidi w:val="0"/>
        <w:adjustRightInd w:val="0"/>
        <w:snapToGrid w:val="0"/>
        <w:spacing w:line="576" w:lineRule="exact"/>
        <w:ind w:left="0" w:leftChars="0" w:firstLine="643" w:firstLineChars="200"/>
        <w:jc w:val="both"/>
        <w:textAlignment w:val="auto"/>
        <w:rPr>
          <w:rFonts w:hint="eastAsia" w:ascii="仿宋_GB2312" w:hAnsi="仿宋_GB2312" w:eastAsia="仿宋_GB2312" w:cs="仿宋_GB2312"/>
          <w:b/>
          <w:bCs/>
          <w:color w:val="0000FF"/>
          <w:sz w:val="32"/>
          <w:szCs w:val="32"/>
        </w:rPr>
      </w:pPr>
      <w:r>
        <w:rPr>
          <w:rFonts w:hint="eastAsia" w:ascii="仿宋_GB2312" w:hAnsi="仿宋_GB2312" w:eastAsia="仿宋_GB2312" w:cs="仿宋_GB2312"/>
          <w:b/>
          <w:bCs/>
          <w:sz w:val="32"/>
          <w:szCs w:val="32"/>
        </w:rPr>
        <w:t>我局将对你单位改正违法行为的情况实施复查，如果复查时发现你单位拒不改正的，我局将依据《放射性同位素与射线装置安全和防护管理办法》第五十五条第二项“违反本办法规定，生产、销售、使用放射性同位素与射线装置的单位有下列行为之一的，由原辐射安全许可证发证机关给予警告，责令限期改正；逾期不改正的，处一万元以上三万元以下的罚款。......（二）未按规定时间报送安全和防护状况年度评估报告的；......”的规定 ，</w:t>
      </w:r>
      <w:r>
        <w:rPr>
          <w:rFonts w:hint="eastAsia" w:ascii="仿宋_GB2312" w:hAnsi="仿宋_GB2312" w:eastAsia="仿宋_GB2312" w:cs="仿宋_GB2312"/>
          <w:b/>
          <w:bCs/>
          <w:color w:val="auto"/>
          <w:sz w:val="32"/>
          <w:szCs w:val="32"/>
        </w:rPr>
        <w:t>对你单位的违法行为进行</w:t>
      </w:r>
      <w:r>
        <w:rPr>
          <w:rFonts w:hint="eastAsia" w:ascii="仿宋_GB2312" w:hAnsi="仿宋_GB2312" w:eastAsia="仿宋_GB2312" w:cs="仿宋_GB2312"/>
          <w:b/>
          <w:bCs/>
          <w:color w:val="auto"/>
          <w:sz w:val="32"/>
          <w:szCs w:val="32"/>
          <w:lang w:eastAsia="zh-CN"/>
        </w:rPr>
        <w:t>罚款</w:t>
      </w:r>
      <w:r>
        <w:rPr>
          <w:rFonts w:hint="eastAsia" w:ascii="仿宋_GB2312" w:hAnsi="仿宋_GB2312" w:eastAsia="仿宋_GB2312" w:cs="仿宋_GB2312"/>
          <w:b/>
          <w:bCs/>
          <w:color w:val="auto"/>
          <w:sz w:val="32"/>
          <w:szCs w:val="32"/>
        </w:rPr>
        <w:t>。</w:t>
      </w:r>
    </w:p>
    <w:p w14:paraId="4EEF73C0">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55CE172D">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487DF130">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ascii="仿宋_GB2312" w:hAnsi="仿宋" w:eastAsia="仿宋_GB2312" w:cs="Times New Roman"/>
          <w:snapToGrid/>
          <w:kern w:val="2"/>
          <w:sz w:val="32"/>
          <w:szCs w:val="32"/>
        </w:rPr>
      </w:pPr>
    </w:p>
    <w:p w14:paraId="01F98976">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66E6FCF8">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慕小姐</w:t>
      </w:r>
      <w:r>
        <w:rPr>
          <w:rFonts w:hint="eastAsia" w:ascii="仿宋_GB2312" w:hAnsi="仿宋_GB2312" w:eastAsia="仿宋_GB2312" w:cs="仿宋_GB2312"/>
          <w:snapToGrid/>
          <w:kern w:val="2"/>
          <w:sz w:val="32"/>
          <w:szCs w:val="32"/>
        </w:rPr>
        <w:t>，联系电话：0750-3291707。</w:t>
      </w:r>
    </w:p>
    <w:p w14:paraId="1176FC09">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p>
    <w:p w14:paraId="113ABA8F">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p>
    <w:p w14:paraId="236865C2">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239C5E21">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7</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 xml:space="preserve">日     </w:t>
      </w:r>
    </w:p>
    <w:tbl>
      <w:tblPr>
        <w:tblStyle w:val="5"/>
        <w:tblpPr w:leftFromText="180" w:rightFromText="180" w:vertAnchor="text" w:horzAnchor="page" w:tblpX="1459" w:tblpY="616"/>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5AD60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16D90D86">
            <w:pPr>
              <w:spacing w:line="540"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 w:eastAsia="仿宋_GB2312" w:cs="Times New Roman"/>
                <w:snapToGrid/>
                <w:kern w:val="2"/>
                <w:sz w:val="32"/>
                <w:szCs w:val="32"/>
                <w:lang w:eastAsia="zh-CN"/>
              </w:rPr>
              <w:t>白沙街道办事处</w:t>
            </w:r>
          </w:p>
        </w:tc>
      </w:tr>
    </w:tbl>
    <w:p w14:paraId="7A9D56AB">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3"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251D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30A48">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130A48">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023AFB"/>
    <w:rsid w:val="002237E9"/>
    <w:rsid w:val="00647BA4"/>
    <w:rsid w:val="09E153CF"/>
    <w:rsid w:val="0AC75292"/>
    <w:rsid w:val="0F450E31"/>
    <w:rsid w:val="13CD319C"/>
    <w:rsid w:val="1C607043"/>
    <w:rsid w:val="1DDC6A73"/>
    <w:rsid w:val="1E8768A2"/>
    <w:rsid w:val="1FF2444B"/>
    <w:rsid w:val="24ED3020"/>
    <w:rsid w:val="257B169F"/>
    <w:rsid w:val="2B7E160C"/>
    <w:rsid w:val="2D7B59C5"/>
    <w:rsid w:val="34787957"/>
    <w:rsid w:val="3A95066C"/>
    <w:rsid w:val="3D5E034E"/>
    <w:rsid w:val="3EF232D4"/>
    <w:rsid w:val="43C350BE"/>
    <w:rsid w:val="45A35CF1"/>
    <w:rsid w:val="462B36BF"/>
    <w:rsid w:val="4A294D53"/>
    <w:rsid w:val="4D07132D"/>
    <w:rsid w:val="54A43D05"/>
    <w:rsid w:val="5615605E"/>
    <w:rsid w:val="5A6C5E26"/>
    <w:rsid w:val="5EBB6A14"/>
    <w:rsid w:val="63EA117A"/>
    <w:rsid w:val="6C70648D"/>
    <w:rsid w:val="6FF7286B"/>
    <w:rsid w:val="743A2544"/>
    <w:rsid w:val="77BC0DAF"/>
    <w:rsid w:val="7E9C12A2"/>
    <w:rsid w:val="7FAD1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D8959-37DF-4893-A236-1A77AE6694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1642</Words>
  <Characters>1843</Characters>
  <Lines>5</Lines>
  <Paragraphs>1</Paragraphs>
  <TotalTime>0</TotalTime>
  <ScaleCrop>false</ScaleCrop>
  <LinksUpToDate>false</LinksUpToDate>
  <CharactersWithSpaces>1866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2023-11-30T07:23:00Z</cp:lastPrinted>
  <dcterms:modified xsi:type="dcterms:W3CDTF">2024-07-11T02:03:54Z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FDA9FF1EB42A42CF8974B3E474911862_11</vt:lpwstr>
  </property>
</Properties>
</file>