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hint="eastAsia"/>
          <w:lang w:val="en-US" w:eastAsia="zh-CN"/>
        </w:rPr>
      </w:pPr>
      <w:r>
        <w:rPr>
          <w:rStyle w:val="14"/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Style w:val="14"/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8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80" w:lineRule="exact"/>
        <w:jc w:val="center"/>
        <w:textAlignment w:val="auto"/>
        <w:rPr>
          <w:rFonts w:hint="eastAsia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蓬江区2023国有资本经营预算调整情况说明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根据区委区政府国资国企改革工作要求，蓬江区国资新成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立四大集团公司，四大集团公司目前处于筹备阶段，为做好四大集团公司开业准备工作，同时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结合区属国企的实际经营情况，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对2023年度国有资本经营预算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支出情况作相应调整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具体情况现报告如下：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一、2023年国有资本经营预算收入情况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2023年区本级国有资本经营预算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总收入为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16206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，其中：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（一）利润收入为11918万元，是江门市滨江建设投资管理有限公司上缴利润收入，占预算总收入的73.54%；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（二）转移性收入28万元，为2022年底提前下达的2023年中央驻粤国有企业退休人员移交社会化管理的管理服务费用，占预算总收入的0.17%；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（三）2022年结转4260万元，占预算总收入的26.29%。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二、2023年国有资本经营预算支出调整情况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9"/>
        <w:rPr>
          <w:rFonts w:hint="eastAsia" w:ascii="仿宋_GB2312" w:hAnsi="仿宋" w:eastAsia="仿宋_GB2312" w:cs="宋体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按照2023年收入计划，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本年预算总支出在保持不变为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16206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万元情况下，对支出明细作相应调整，</w:t>
      </w:r>
      <w:r>
        <w:rPr>
          <w:rFonts w:hint="eastAsia" w:ascii="仿宋_GB2312" w:hAnsi="仿宋" w:eastAsia="仿宋_GB2312" w:cs="宋体"/>
          <w:b w:val="0"/>
          <w:bCs w:val="0"/>
          <w:sz w:val="32"/>
          <w:szCs w:val="32"/>
          <w:lang w:val="en-US" w:eastAsia="zh-CN" w:bidi="ar-SA"/>
        </w:rPr>
        <w:t>其中：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" w:eastAsia="仿宋_GB2312" w:cs="仿宋"/>
          <w:sz w:val="32"/>
          <w:szCs w:val="32"/>
        </w:rPr>
        <w:t>国有企业资本金注入支出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总体保持不变为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12518</w:t>
      </w:r>
      <w:r>
        <w:rPr>
          <w:rFonts w:hint="eastAsia" w:ascii="仿宋_GB2312" w:hAnsi="仿宋" w:eastAsia="仿宋_GB2312" w:cs="仿宋"/>
          <w:sz w:val="32"/>
          <w:szCs w:val="32"/>
        </w:rPr>
        <w:t>万元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其中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8518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万元注资给江门市滨江建设投资管理有限公司，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3500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万元注资给广东珠西投资控股集团有限公司，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500万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元注资给江门市蓬江区侨邦文化旅游投资有限公司调整为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2000万元注资给江门市蓬江区侨邦文旅集团有限公司，2000万元注资给江门市蓬江区侨城建设集团有限公司，2000万元注资给江门市蓬江区侨兴投资集团有限公司，2000万元注资给江门市蓬江区侨盛发展集团有限公司，4518万元注资给江门市滨江建设投资管理有限公司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" w:eastAsia="仿宋_GB2312"/>
          <w:sz w:val="32"/>
          <w:szCs w:val="32"/>
        </w:rPr>
        <w:t>解决历史遗留问题及改革成本支出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保持不变</w:t>
      </w:r>
      <w:r>
        <w:rPr>
          <w:rFonts w:hint="eastAsia" w:ascii="仿宋_GB2312" w:hAnsi="仿宋" w:eastAsia="仿宋_GB2312"/>
          <w:sz w:val="32"/>
          <w:szCs w:val="32"/>
        </w:rPr>
        <w:t>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112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" w:eastAsia="仿宋_GB2312" w:cs="仿宋"/>
          <w:sz w:val="32"/>
          <w:szCs w:val="32"/>
        </w:rPr>
        <w:t>调入一般公共预算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3576</w:t>
      </w:r>
      <w:r>
        <w:rPr>
          <w:rFonts w:hint="eastAsia" w:ascii="仿宋_GB2312" w:hAnsi="仿宋" w:eastAsia="仿宋_GB2312" w:cs="仿宋"/>
          <w:sz w:val="32"/>
          <w:szCs w:val="32"/>
        </w:rPr>
        <w:t>万元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保持不变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，占企业利润上缴总额的30.00%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2023年拟不留结转资金。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ind w:left="0" w:leftChars="0" w:firstLine="640" w:firstLineChars="200"/>
        <w:jc w:val="both"/>
        <w:textAlignment w:val="center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576" w:lineRule="exact"/>
        <w:ind w:left="0" w:leftChars="0" w:firstLine="640" w:firstLineChars="200"/>
        <w:jc w:val="both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2023年国有资本经营预算收支总表（调整预算）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576" w:lineRule="exact"/>
        <w:ind w:left="2144" w:leftChars="0" w:hanging="2144" w:hangingChars="670"/>
        <w:jc w:val="both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76" w:lineRule="exact"/>
        <w:ind w:left="0" w:leftChars="0" w:right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5" w:type="default"/>
      <w:pgSz w:w="11910" w:h="16840"/>
      <w:pgMar w:top="1984" w:right="1587" w:bottom="2098" w:left="1587" w:header="850" w:footer="1587" w:gutter="0"/>
      <w:pgNumType w:fmt="numberInDash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 w:ascii="仿宋" w:hAnsi="仿宋" w:eastAsia="仿宋" w:cs="仿宋"/>
                    <w:sz w:val="32"/>
                    <w:szCs w:val="32"/>
                  </w:rPr>
                  <w:fldChar w:fldCharType="begin"/>
                </w:r>
                <w:r>
                  <w:rPr>
                    <w:rFonts w:hint="eastAsia" w:ascii="仿宋" w:hAnsi="仿宋" w:eastAsia="仿宋" w:cs="仿宋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hint="eastAsia" w:ascii="仿宋" w:hAnsi="仿宋" w:eastAsia="仿宋" w:cs="仿宋"/>
                    <w:sz w:val="32"/>
                    <w:szCs w:val="32"/>
                  </w:rPr>
                  <w:fldChar w:fldCharType="separate"/>
                </w:r>
                <w:r>
                  <w:rPr>
                    <w:rFonts w:hint="eastAsia" w:ascii="仿宋" w:hAnsi="仿宋" w:eastAsia="仿宋" w:cs="仿宋"/>
                    <w:sz w:val="32"/>
                    <w:szCs w:val="32"/>
                  </w:rPr>
                  <w:t>1</w:t>
                </w:r>
                <w:r>
                  <w:rPr>
                    <w:rFonts w:hint="eastAsia" w:ascii="仿宋" w:hAnsi="仿宋" w:eastAsia="仿宋" w:cs="仿宋"/>
                    <w:sz w:val="32"/>
                    <w:szCs w:val="32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720"/>
  <w:drawingGridHorizontalSpacing w:val="110"/>
  <w:displayHorizontalDrawingGridEvery w:val="1"/>
  <w:displayVerticalDrawingGridEvery w:val="1"/>
  <w:noPunctuationKerning w:val="true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k0ZjJmZWU2Y2UyZjZiNzEzMTU3YjlmYmNlNTU3OTcifQ=="/>
  </w:docVars>
  <w:rsids>
    <w:rsidRoot w:val="00000000"/>
    <w:rsid w:val="06007ECF"/>
    <w:rsid w:val="06B679E5"/>
    <w:rsid w:val="0AFFF88B"/>
    <w:rsid w:val="0D553231"/>
    <w:rsid w:val="0FAD332B"/>
    <w:rsid w:val="10F21CAF"/>
    <w:rsid w:val="1343031D"/>
    <w:rsid w:val="18BE7118"/>
    <w:rsid w:val="1FE4616F"/>
    <w:rsid w:val="24260EC0"/>
    <w:rsid w:val="30E32BBC"/>
    <w:rsid w:val="32476F97"/>
    <w:rsid w:val="32934831"/>
    <w:rsid w:val="36A323CC"/>
    <w:rsid w:val="38AF7862"/>
    <w:rsid w:val="38C8493E"/>
    <w:rsid w:val="41A0668C"/>
    <w:rsid w:val="42FA192C"/>
    <w:rsid w:val="460860DD"/>
    <w:rsid w:val="46E25492"/>
    <w:rsid w:val="4AA04DE4"/>
    <w:rsid w:val="51584F85"/>
    <w:rsid w:val="54737314"/>
    <w:rsid w:val="553968CD"/>
    <w:rsid w:val="56135335"/>
    <w:rsid w:val="57AD7989"/>
    <w:rsid w:val="57FD2189"/>
    <w:rsid w:val="5A613005"/>
    <w:rsid w:val="5C171942"/>
    <w:rsid w:val="61130CD3"/>
    <w:rsid w:val="66F73A97"/>
    <w:rsid w:val="6A5073A2"/>
    <w:rsid w:val="6A871CD0"/>
    <w:rsid w:val="6C2336C8"/>
    <w:rsid w:val="6D4D2752"/>
    <w:rsid w:val="6DEE04A0"/>
    <w:rsid w:val="713F6856"/>
    <w:rsid w:val="73385E96"/>
    <w:rsid w:val="77F714C0"/>
    <w:rsid w:val="79F12EBB"/>
    <w:rsid w:val="7D5663B5"/>
    <w:rsid w:val="7F6659CF"/>
    <w:rsid w:val="7FFFF4E9"/>
    <w:rsid w:val="FEDFD1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2"/>
    <w:basedOn w:val="1"/>
    <w:next w:val="1"/>
    <w:unhideWhenUsed/>
    <w:qFormat/>
    <w:uiPriority w:val="39"/>
    <w:pPr>
      <w:tabs>
        <w:tab w:val="right" w:leader="dot" w:pos="8296"/>
      </w:tabs>
      <w:spacing w:line="500" w:lineRule="exact"/>
      <w:ind w:left="200" w:leftChars="200"/>
    </w:pPr>
    <w:rPr>
      <w:rFonts w:eastAsia="仿宋"/>
      <w:sz w:val="24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paragraph" w:customStyle="1" w:styleId="1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1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573</Words>
  <Characters>668</Characters>
  <TotalTime>23</TotalTime>
  <ScaleCrop>false</ScaleCrop>
  <LinksUpToDate>false</LinksUpToDate>
  <CharactersWithSpaces>678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2022-11-25T04:46:00Z</dcterms:created>
  <dc:creator>星尘</dc:creator>
  <cp:lastModifiedBy>user</cp:lastModifiedBy>
  <cp:lastPrinted>2023-09-27T03:20:00Z</cp:lastPrinted>
  <dcterms:modified xsi:type="dcterms:W3CDTF">2023-12-07T12:35:38Z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2022-11-24T00:00:00Z</vt:filetime>
  </property>
  <property fmtid="{D5CDD505-2E9C-101B-9397-08002B2CF9AE}" pid="5" name="KSOProductBuildVer">
    <vt:lpwstr>2052-11.8.2.9980</vt:lpwstr>
  </property>
  <property fmtid="{D5CDD505-2E9C-101B-9397-08002B2CF9AE}" pid="6" name="ICV">
    <vt:lpwstr>332F82B7109D444D876AE5D4AA36C4A6</vt:lpwstr>
  </property>
</Properties>
</file>