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bookmarkStart w:id="0" w:name="_GoBack"/>
      <w:bookmarkEnd w:id="0"/>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62</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96"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当事人：江门市衡易金属有限公司</w:t>
      </w:r>
    </w:p>
    <w:p>
      <w:pPr>
        <w:keepNext w:val="0"/>
        <w:keepLines w:val="0"/>
        <w:pageBreakBefore w:val="0"/>
        <w:widowControl w:val="0"/>
        <w:kinsoku/>
        <w:wordWrap/>
        <w:overflowPunct/>
        <w:topLinePunct w:val="0"/>
        <w:autoSpaceDE/>
        <w:autoSpaceDN/>
        <w:bidi w:val="0"/>
        <w:spacing w:line="59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91440703MA530P971U</w:t>
      </w:r>
    </w:p>
    <w:p>
      <w:pPr>
        <w:keepNext w:val="0"/>
        <w:keepLines w:val="0"/>
        <w:pageBreakBefore w:val="0"/>
        <w:widowControl w:val="0"/>
        <w:kinsoku/>
        <w:wordWrap/>
        <w:overflowPunct/>
        <w:topLinePunct w:val="0"/>
        <w:autoSpaceDE/>
        <w:autoSpaceDN/>
        <w:bidi w:val="0"/>
        <w:spacing w:line="59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施婉芬</w:t>
      </w:r>
    </w:p>
    <w:p>
      <w:pPr>
        <w:keepNext w:val="0"/>
        <w:keepLines w:val="0"/>
        <w:pageBreakBefore w:val="0"/>
        <w:kinsoku/>
        <w:wordWrap/>
        <w:overflowPunct/>
        <w:topLinePunct w:val="0"/>
        <w:autoSpaceDE/>
        <w:autoSpaceDN/>
        <w:bidi w:val="0"/>
        <w:spacing w:line="596"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highlight w:val="none"/>
          <w:lang w:val="en-US" w:eastAsia="zh-CN"/>
        </w:rPr>
        <w:t>地址：江门市蓬江区杜阮镇龙眠工业区厂房一座</w:t>
      </w:r>
    </w:p>
    <w:p>
      <w:pPr>
        <w:keepNext w:val="0"/>
        <w:keepLines w:val="0"/>
        <w:pageBreakBefore w:val="0"/>
        <w:kinsoku/>
        <w:wordWrap/>
        <w:overflowPunct/>
        <w:topLinePunct w:val="0"/>
        <w:autoSpaceDE/>
        <w:autoSpaceDN/>
        <w:bidi w:val="0"/>
        <w:adjustRightInd w:val="0"/>
        <w:snapToGrid w:val="0"/>
        <w:spacing w:line="596" w:lineRule="exact"/>
        <w:ind w:firstLine="620" w:firstLineChars="196"/>
        <w:textAlignment w:val="auto"/>
        <w:rPr>
          <w:rFonts w:hint="eastAsia" w:ascii="黑体" w:hAnsi="黑体" w:eastAsia="黑体" w:cs="黑体"/>
          <w:b w:val="0"/>
          <w:bCs/>
          <w:sz w:val="32"/>
          <w:szCs w:val="32"/>
        </w:rPr>
      </w:pPr>
    </w:p>
    <w:p>
      <w:pPr>
        <w:keepNext w:val="0"/>
        <w:keepLines w:val="0"/>
        <w:pageBreakBefore w:val="0"/>
        <w:kinsoku/>
        <w:wordWrap/>
        <w:overflowPunct/>
        <w:topLinePunct w:val="0"/>
        <w:autoSpaceDE/>
        <w:autoSpaceDN/>
        <w:bidi w:val="0"/>
        <w:adjustRightInd w:val="0"/>
        <w:snapToGrid w:val="0"/>
        <w:spacing w:line="59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9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2023年10月9日，我局执法人员对你单位进行现场检查，发现你单位存在以下环境违法行为：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9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w:t>
      </w:r>
      <w:r>
        <w:rPr>
          <w:rFonts w:hint="eastAsia" w:ascii="仿宋_GB2312" w:hAnsi="仿宋" w:eastAsia="仿宋_GB2312" w:cs="Times New Roman"/>
          <w:color w:val="auto"/>
          <w:sz w:val="32"/>
          <w:szCs w:val="32"/>
          <w:highlight w:val="none"/>
          <w:lang w:val="en-US" w:eastAsia="zh-CN"/>
        </w:rPr>
        <w:t>主要从事金属表面处理及热处理加工项目，现场检查扩建了喷粉线1条（2个喷柜+1个固化炉）、前表面处理线1条（碱洗酸洗磷化），该项目属于《建设项目环境影响评价分类管理名录（2021年版）》三十、金属制品业67：金属表面处理及热处理加工-其他（年用非溶剂型低VOCs含量涂料10吨以下的除外），属于应编制环境影响报告表项目。你单位扩建项目在未依法报批建设项目环境影响报告表的情况下，于2021年11月进行开工建设，并于当月建设完成投入使用，扩建项目总投资额约为10万元，存在未批先建的违法行为</w:t>
      </w:r>
      <w:r>
        <w:rPr>
          <w:rFonts w:hint="eastAsia" w:ascii="仿宋_GB2312" w:hAnsi="仿宋"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6"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上述事实有我局2023年10月9日现场检查（勘察）记录、调查询问笔录、现场检查拍摄照片与视频，《授权委托书》《情况说明》</w:t>
      </w:r>
      <w:r>
        <w:rPr>
          <w:rFonts w:hint="eastAsia" w:ascii="仿宋_GB2312" w:hAnsi="仿宋" w:eastAsia="仿宋_GB2312"/>
          <w:highlight w:val="none"/>
          <w:lang w:val="en-US" w:eastAsia="zh-CN"/>
        </w:rPr>
        <w:t>《江门市生态环境局责令改正违法行为通知书》（No：DR23100901）</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9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9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eastAsia="zh-CN"/>
        </w:rPr>
        <w:t>改正扩建的金属表面处理及热处理加工项目在环境影响报告表未依法报批的情况下擅自开工建设的违法行为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9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96"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96"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9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9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9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96"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9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9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4"/>
        <w:tblpPr w:leftFromText="180" w:rightFromText="180" w:vertAnchor="text" w:horzAnchor="page" w:tblpX="1532" w:tblpY="11423"/>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3A52EC3"/>
    <w:rsid w:val="04AA761B"/>
    <w:rsid w:val="04EB522D"/>
    <w:rsid w:val="05545BDE"/>
    <w:rsid w:val="06922992"/>
    <w:rsid w:val="08A92534"/>
    <w:rsid w:val="095137E0"/>
    <w:rsid w:val="0ABB4824"/>
    <w:rsid w:val="0B055B73"/>
    <w:rsid w:val="10AE71F3"/>
    <w:rsid w:val="1161268E"/>
    <w:rsid w:val="128E09FC"/>
    <w:rsid w:val="146A6AAD"/>
    <w:rsid w:val="15535A89"/>
    <w:rsid w:val="171E4867"/>
    <w:rsid w:val="19532F81"/>
    <w:rsid w:val="1E970C93"/>
    <w:rsid w:val="20D1237B"/>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46E1C0D"/>
    <w:rsid w:val="35D2348B"/>
    <w:rsid w:val="3A2734BB"/>
    <w:rsid w:val="3A8C7409"/>
    <w:rsid w:val="3B8D3AB8"/>
    <w:rsid w:val="3C644FE4"/>
    <w:rsid w:val="3F204410"/>
    <w:rsid w:val="3FBC5879"/>
    <w:rsid w:val="3FC24EF0"/>
    <w:rsid w:val="410809CE"/>
    <w:rsid w:val="41D36003"/>
    <w:rsid w:val="4637418D"/>
    <w:rsid w:val="4852354C"/>
    <w:rsid w:val="4B423DF9"/>
    <w:rsid w:val="4BE26767"/>
    <w:rsid w:val="4C007F1B"/>
    <w:rsid w:val="4F5C0CB1"/>
    <w:rsid w:val="50771C86"/>
    <w:rsid w:val="50D510C3"/>
    <w:rsid w:val="522F1649"/>
    <w:rsid w:val="54F94BCA"/>
    <w:rsid w:val="591744C5"/>
    <w:rsid w:val="5D5E1217"/>
    <w:rsid w:val="5E131A44"/>
    <w:rsid w:val="60A5027F"/>
    <w:rsid w:val="62390BCD"/>
    <w:rsid w:val="624D3D9E"/>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7EF08F6"/>
    <w:rsid w:val="79A46B02"/>
    <w:rsid w:val="7A6B4BEA"/>
    <w:rsid w:val="7A754D2E"/>
    <w:rsid w:val="7B8C7C09"/>
    <w:rsid w:val="7BC507AB"/>
    <w:rsid w:val="7F563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11</TotalTime>
  <ScaleCrop>false</ScaleCrop>
  <LinksUpToDate>false</LinksUpToDate>
  <CharactersWithSpaces>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2023-11-21T09:16:14Z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