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文鼎CS大宋" w:hAnsi="Times New Roman" w:eastAsia="文鼎CS大宋" w:cs="Times New Roman"/>
          <w:color w:val="FF0000"/>
          <w:spacing w:val="120"/>
          <w:sz w:val="84"/>
          <w:szCs w:val="84"/>
        </w:rPr>
      </w:pPr>
      <w:r>
        <w:rPr>
          <w:rFonts w:hint="eastAsia" w:ascii="文鼎CS大宋" w:hAnsi="Times New Roman" w:eastAsia="文鼎CS大宋" w:cs="Times New Roman"/>
          <w:color w:val="FF0000"/>
          <w:spacing w:val="119"/>
          <w:w w:val="95"/>
          <w:sz w:val="84"/>
          <w:szCs w:val="84"/>
        </w:rPr>
        <w:t>江门市生态环境局</w:t>
      </w:r>
      <w:r>
        <w:rPr>
          <w:rFonts w:ascii="仿宋_GB2312" w:eastAsia="仿宋_GB2312"/>
        </w:rPr>
        <mc:AlternateContent>
          <mc:Choice Requires="wpg">
            <w:drawing>
              <wp:anchor distT="0" distB="0" distL="114300" distR="114300" simplePos="0" relativeHeight="251659264" behindDoc="1" locked="1" layoutInCell="1" allowOverlap="1">
                <wp:simplePos x="0" y="0"/>
                <wp:positionH relativeFrom="column">
                  <wp:posOffset>-140335</wp:posOffset>
                </wp:positionH>
                <wp:positionV relativeFrom="paragraph">
                  <wp:posOffset>786130</wp:posOffset>
                </wp:positionV>
                <wp:extent cx="5895975" cy="7294245"/>
                <wp:effectExtent l="0" t="28575" r="9525" b="30480"/>
                <wp:wrapNone/>
                <wp:docPr id="3" name="组合 3"/>
                <wp:cNvGraphicFramePr/>
                <a:graphic xmlns:a="http://schemas.openxmlformats.org/drawingml/2006/main">
                  <a:graphicData uri="http://schemas.microsoft.com/office/word/2010/wordprocessingGroup">
                    <wpg:wgp>
                      <wpg:cNvGrpSpPr/>
                      <wpg:grpSpPr>
                        <a:xfrm>
                          <a:off x="841375" y="2308860"/>
                          <a:ext cx="5895975" cy="7294245"/>
                          <a:chOff x="0" y="0"/>
                          <a:chExt cx="9638" cy="12470"/>
                        </a:xfrm>
                        <a:effectLst/>
                      </wpg:grpSpPr>
                      <wps:wsp>
                        <wps:cNvPr id="1" name="直接连接符 1"/>
                        <wps:cNvCnPr/>
                        <wps:spPr>
                          <a:xfrm>
                            <a:off x="0" y="0"/>
                            <a:ext cx="9638" cy="0"/>
                          </a:xfrm>
                          <a:prstGeom prst="line">
                            <a:avLst/>
                          </a:prstGeom>
                          <a:ln w="57150" cap="flat" cmpd="thickThin">
                            <a:solidFill>
                              <a:srgbClr val="FF0000"/>
                            </a:solidFill>
                            <a:prstDash val="solid"/>
                            <a:bevel/>
                            <a:headEnd type="none" w="med" len="med"/>
                            <a:tailEnd type="none" w="med" len="med"/>
                          </a:ln>
                          <a:effectLst/>
                        </wps:spPr>
                        <wps:bodyPr upright="1"/>
                      </wps:wsp>
                      <wps:wsp>
                        <wps:cNvPr id="2" name="直接连接符 2"/>
                        <wps:cNvCnPr/>
                        <wps:spPr>
                          <a:xfrm>
                            <a:off x="0" y="12470"/>
                            <a:ext cx="9638" cy="0"/>
                          </a:xfrm>
                          <a:prstGeom prst="line">
                            <a:avLst/>
                          </a:prstGeom>
                          <a:ln w="57150" cap="flat" cmpd="thinThick">
                            <a:solidFill>
                              <a:srgbClr val="FF0000"/>
                            </a:solidFill>
                            <a:prstDash val="solid"/>
                            <a:bevel/>
                            <a:headEnd type="none" w="med" len="med"/>
                            <a:tailEnd type="none" w="med" len="med"/>
                          </a:ln>
                          <a:effectLst/>
                        </wps:spPr>
                        <wps:bodyPr upright="1"/>
                      </wps:wsp>
                    </wpg:wgp>
                  </a:graphicData>
                </a:graphic>
              </wp:anchor>
            </w:drawing>
          </mc:Choice>
          <mc:Fallback>
            <w:pict>
              <v:group id="_x0000_s1026" o:spid="_x0000_s1026" o:spt="203" style="position:absolute;left:0pt;margin-left:-11.05pt;margin-top:61.9pt;height:574.35pt;width:464.25pt;z-index:-251657216;mso-width-relative:page;mso-height-relative:page;" coordsize="9638,12470" o:gfxdata="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">
                <o:lock v:ext="edit" aspectratio="f"/>
                <v:line id="_x0000_s1026" o:spid="_x0000_s1026" o:spt="20" style="position:absolute;left:0;top:0;height:0;width:9638;" filled="f" stroked="t" coordsize="21600,21600" o:gfxdata="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FT56zq5AAAA2gAA&#10;AA8AAAAAAAAAAQAgAAAAIgAAAGRycy9kb3ducmV2LnhtbFBLAQIUABQAAAAIAIdO4kAzLwWeOwAA&#10;ADkAAAAQAAAAAAAAAAEAIAAAAAgBAABkcnMvc2hhcGV4bWwueG1sUEsFBgAAAAAGAAYAWwEAALID&#10;AAAAAA==&#10;">
                  <v:fill on="f" focussize="0,0"/>
                  <v:stroke weight="4.5pt" color="#FF0000" linestyle="thickThin" joinstyle="bevel"/>
                  <v:imagedata o:title=""/>
                  <o:lock v:ext="edit" aspectratio="f"/>
                </v:line>
                <v:line id="_x0000_s1026" o:spid="_x0000_s1026" o:spt="20" style="position:absolute;left:0;top:12470;height:0;width:9638;" filled="f" stroked="t" coordsize="21600,21600" o:gfxdata="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z5FrVvQAA&#10;ANoAAAAPAAAAAAAAAAEAIAAAACIAAABkcnMvZG93bnJldi54bWxQSwECFAAUAAAACACHTuJAMy8F&#10;njsAAAA5AAAAEAAAAAAAAAABACAAAAAMAQAAZHJzL3NoYXBleG1sLnhtbFBLBQYAAAAABgAGAFsB&#10;AAC2AwAAAAA=&#10;">
                  <v:fill on="f" focussize="0,0"/>
                  <v:stroke weight="4.5pt" color="#FF0000" linestyle="thinThick" joinstyle="bevel"/>
                  <v:imagedata o:title=""/>
                  <o:lock v:ext="edit" aspectratio="f"/>
                </v:line>
                <w10:anchorlock/>
              </v:group>
            </w:pict>
          </mc:Fallback>
        </mc:AlternateContent>
      </w:r>
    </w:p>
    <w:p>
      <w:pPr>
        <w:keepNext w:val="0"/>
        <w:keepLines w:val="0"/>
        <w:pageBreakBefore w:val="0"/>
        <w:widowControl w:val="0"/>
        <w:kinsoku/>
        <w:wordWrap/>
        <w:overflowPunct/>
        <w:topLinePunct w:val="0"/>
        <w:autoSpaceDE/>
        <w:autoSpaceDN/>
        <w:bidi w:val="0"/>
        <w:spacing w:line="500" w:lineRule="exact"/>
        <w:ind w:left="0" w:leftChars="0"/>
        <w:jc w:val="both"/>
        <w:textAlignment w:val="auto"/>
        <w:outlineLvl w:val="9"/>
        <w:rPr>
          <w:rFonts w:hint="eastAsia" w:ascii="仿宋_GB2312" w:hAnsi="华文中宋" w:eastAsia="仿宋_GB2312"/>
        </w:rPr>
      </w:pPr>
    </w:p>
    <w:p>
      <w:pPr>
        <w:keepNext w:val="0"/>
        <w:keepLines w:val="0"/>
        <w:pageBreakBefore w:val="0"/>
        <w:kinsoku/>
        <w:wordWrap/>
        <w:overflowPunct/>
        <w:topLinePunct w:val="0"/>
        <w:autoSpaceDE/>
        <w:autoSpaceDN/>
        <w:bidi w:val="0"/>
        <w:spacing w:line="500" w:lineRule="exact"/>
        <w:jc w:val="center"/>
        <w:textAlignment w:val="auto"/>
        <w:rPr>
          <w:rFonts w:hint="eastAsia" w:ascii="方正小标宋_GBK" w:hAnsi="宋体" w:eastAsia="方正小标宋_GBK"/>
          <w:sz w:val="44"/>
          <w:szCs w:val="44"/>
        </w:rPr>
      </w:pPr>
      <w:r>
        <w:rPr>
          <w:rFonts w:hint="eastAsia" w:ascii="方正小标宋_GBK" w:hAnsi="宋体" w:eastAsia="方正小标宋_GBK"/>
          <w:sz w:val="44"/>
          <w:szCs w:val="44"/>
        </w:rPr>
        <w:t>江门市生态环境局</w:t>
      </w:r>
    </w:p>
    <w:p>
      <w:pPr>
        <w:keepNext w:val="0"/>
        <w:keepLines w:val="0"/>
        <w:pageBreakBefore w:val="0"/>
        <w:kinsoku/>
        <w:wordWrap/>
        <w:overflowPunct/>
        <w:topLinePunct w:val="0"/>
        <w:autoSpaceDE/>
        <w:autoSpaceDN/>
        <w:bidi w:val="0"/>
        <w:adjustRightInd w:val="0"/>
        <w:snapToGrid w:val="0"/>
        <w:spacing w:line="500" w:lineRule="exact"/>
        <w:jc w:val="center"/>
        <w:textAlignment w:val="auto"/>
        <w:rPr>
          <w:rFonts w:hint="eastAsia" w:ascii="方正小标宋_GBK" w:hAnsi="方正小标宋_GBK" w:eastAsia="方正小标宋_GBK" w:cs="方正小标宋_GBK"/>
          <w:b w:val="0"/>
          <w:bCs/>
          <w:sz w:val="44"/>
          <w:szCs w:val="44"/>
        </w:rPr>
      </w:pPr>
      <w:r>
        <w:rPr>
          <w:rFonts w:hint="eastAsia" w:ascii="方正小标宋_GBK" w:hAnsi="宋体" w:eastAsia="方正小标宋_GBK"/>
          <w:kern w:val="0"/>
          <w:sz w:val="44"/>
          <w:szCs w:val="44"/>
        </w:rPr>
        <w:t>责令改正违法行为决定书</w:t>
      </w:r>
    </w:p>
    <w:p>
      <w:pPr>
        <w:keepNext w:val="0"/>
        <w:keepLines w:val="0"/>
        <w:pageBreakBefore w:val="0"/>
        <w:kinsoku/>
        <w:wordWrap/>
        <w:overflowPunct/>
        <w:topLinePunct w:val="0"/>
        <w:autoSpaceDE/>
        <w:autoSpaceDN/>
        <w:bidi w:val="0"/>
        <w:spacing w:line="500" w:lineRule="exact"/>
        <w:jc w:val="right"/>
        <w:textAlignment w:val="auto"/>
        <w:rPr>
          <w:rFonts w:hint="eastAsia" w:ascii="仿宋_GB2312" w:hAnsi="仿宋" w:eastAsia="仿宋_GB2312"/>
          <w:sz w:val="32"/>
          <w:szCs w:val="32"/>
          <w:highlight w:val="none"/>
          <w:lang w:eastAsia="zh-CN"/>
        </w:rPr>
      </w:pPr>
    </w:p>
    <w:p>
      <w:pPr>
        <w:keepNext w:val="0"/>
        <w:keepLines w:val="0"/>
        <w:pageBreakBefore w:val="0"/>
        <w:kinsoku/>
        <w:wordWrap/>
        <w:overflowPunct/>
        <w:topLinePunct w:val="0"/>
        <w:autoSpaceDE/>
        <w:autoSpaceDN/>
        <w:bidi w:val="0"/>
        <w:spacing w:line="500" w:lineRule="exact"/>
        <w:jc w:val="right"/>
        <w:textAlignment w:val="auto"/>
        <w:rPr>
          <w:rFonts w:hint="default" w:ascii="仿宋_GB2312" w:hAnsi="仿宋" w:eastAsia="仿宋_GB2312"/>
          <w:sz w:val="32"/>
          <w:szCs w:val="32"/>
          <w:highlight w:val="none"/>
          <w:lang w:val="en-US" w:eastAsia="zh-CN"/>
        </w:rPr>
      </w:pPr>
      <w:r>
        <w:rPr>
          <w:rFonts w:hint="eastAsia" w:ascii="仿宋_GB2312" w:hAnsi="仿宋" w:eastAsia="仿宋_GB2312"/>
          <w:sz w:val="32"/>
          <w:szCs w:val="32"/>
          <w:highlight w:val="none"/>
          <w:lang w:eastAsia="zh-CN"/>
        </w:rPr>
        <w:t>江蓬环改〔202</w:t>
      </w:r>
      <w:r>
        <w:rPr>
          <w:rFonts w:hint="eastAsia" w:ascii="仿宋_GB2312" w:hAnsi="仿宋" w:eastAsia="仿宋_GB2312"/>
          <w:sz w:val="32"/>
          <w:szCs w:val="32"/>
          <w:highlight w:val="none"/>
          <w:lang w:val="en-US" w:eastAsia="zh-CN"/>
        </w:rPr>
        <w:t>3</w:t>
      </w:r>
      <w:r>
        <w:rPr>
          <w:rFonts w:hint="eastAsia" w:ascii="仿宋_GB2312" w:hAnsi="仿宋" w:eastAsia="仿宋_GB2312"/>
          <w:sz w:val="32"/>
          <w:szCs w:val="32"/>
          <w:highlight w:val="none"/>
          <w:lang w:eastAsia="zh-CN"/>
        </w:rPr>
        <w:t>〕</w:t>
      </w:r>
      <w:r>
        <w:rPr>
          <w:rFonts w:hint="eastAsia" w:ascii="仿宋_GB2312" w:hAnsi="仿宋" w:eastAsia="仿宋_GB2312"/>
          <w:sz w:val="32"/>
          <w:szCs w:val="32"/>
          <w:highlight w:val="none"/>
          <w:lang w:val="en-US" w:eastAsia="zh-CN"/>
        </w:rPr>
        <w:t>46</w:t>
      </w:r>
      <w:r>
        <w:rPr>
          <w:rFonts w:hint="eastAsia" w:ascii="仿宋_GB2312" w:hAnsi="仿宋" w:eastAsia="仿宋_GB2312"/>
          <w:sz w:val="32"/>
          <w:szCs w:val="32"/>
          <w:highlight w:val="none"/>
          <w:lang w:eastAsia="zh-CN"/>
        </w:rPr>
        <w:t>号</w:t>
      </w:r>
    </w:p>
    <w:p>
      <w:pPr>
        <w:keepNext w:val="0"/>
        <w:keepLines w:val="0"/>
        <w:pageBreakBefore w:val="0"/>
        <w:kinsoku/>
        <w:wordWrap/>
        <w:overflowPunct/>
        <w:topLinePunct w:val="0"/>
        <w:autoSpaceDE/>
        <w:autoSpaceDN/>
        <w:bidi w:val="0"/>
        <w:spacing w:line="500" w:lineRule="exact"/>
        <w:textAlignment w:val="auto"/>
        <w:rPr>
          <w:rFonts w:hint="eastAsia" w:ascii="仿宋_GB2312" w:hAnsi="仿宋" w:eastAsia="仿宋_GB2312"/>
          <w:sz w:val="32"/>
          <w:szCs w:val="32"/>
          <w:highlight w:val="none"/>
          <w:lang w:eastAsia="zh-CN"/>
        </w:rPr>
      </w:pPr>
    </w:p>
    <w:p>
      <w:pPr>
        <w:keepNext w:val="0"/>
        <w:keepLines w:val="0"/>
        <w:pageBreakBefore w:val="0"/>
        <w:widowControl w:val="0"/>
        <w:kinsoku/>
        <w:wordWrap/>
        <w:overflowPunct/>
        <w:topLinePunct w:val="0"/>
        <w:autoSpaceDE/>
        <w:autoSpaceDN/>
        <w:bidi w:val="0"/>
        <w:spacing w:line="500" w:lineRule="exact"/>
        <w:textAlignment w:val="auto"/>
        <w:rPr>
          <w:rFonts w:hint="eastAsia" w:ascii="仿宋_GB2312" w:hAnsi="仿宋" w:eastAsia="仿宋_GB2312"/>
          <w:highlight w:val="none"/>
        </w:rPr>
      </w:pPr>
      <w:r>
        <w:rPr>
          <w:rFonts w:hint="eastAsia" w:ascii="仿宋_GB2312" w:hAnsi="仿宋" w:eastAsia="仿宋_GB2312"/>
          <w:highlight w:val="none"/>
        </w:rPr>
        <w:t>当事人：江门市达炜水泥制品有限公司</w:t>
      </w:r>
    </w:p>
    <w:p>
      <w:pPr>
        <w:keepNext w:val="0"/>
        <w:keepLines w:val="0"/>
        <w:pageBreakBefore w:val="0"/>
        <w:widowControl w:val="0"/>
        <w:kinsoku/>
        <w:wordWrap/>
        <w:overflowPunct/>
        <w:topLinePunct w:val="0"/>
        <w:autoSpaceDE/>
        <w:autoSpaceDN/>
        <w:bidi w:val="0"/>
        <w:spacing w:line="500" w:lineRule="exact"/>
        <w:textAlignment w:val="auto"/>
        <w:rPr>
          <w:rFonts w:hint="eastAsia" w:ascii="仿宋_GB2312" w:hAnsi="仿宋" w:eastAsia="仿宋_GB2312"/>
          <w:highlight w:val="none"/>
        </w:rPr>
      </w:pPr>
      <w:r>
        <w:rPr>
          <w:rFonts w:hint="eastAsia" w:ascii="仿宋_GB2312" w:hAnsi="仿宋" w:eastAsia="仿宋_GB2312"/>
          <w:highlight w:val="none"/>
        </w:rPr>
        <w:t>统一社会信用代码：</w:t>
      </w:r>
      <w:r>
        <w:rPr>
          <w:rFonts w:hint="eastAsia" w:ascii="仿宋_GB2312" w:hAnsi="仿宋" w:eastAsia="仿宋_GB2312"/>
          <w:highlight w:val="none"/>
          <w:lang w:val="en-US" w:eastAsia="zh-CN"/>
        </w:rPr>
        <w:t>91440703MA5702XM84</w:t>
      </w:r>
    </w:p>
    <w:p>
      <w:pPr>
        <w:keepNext w:val="0"/>
        <w:keepLines w:val="0"/>
        <w:pageBreakBefore w:val="0"/>
        <w:widowControl w:val="0"/>
        <w:kinsoku/>
        <w:wordWrap/>
        <w:overflowPunct/>
        <w:topLinePunct w:val="0"/>
        <w:autoSpaceDE/>
        <w:autoSpaceDN/>
        <w:bidi w:val="0"/>
        <w:spacing w:line="500" w:lineRule="exact"/>
        <w:textAlignment w:val="auto"/>
        <w:rPr>
          <w:rFonts w:hint="eastAsia" w:ascii="仿宋_GB2312" w:hAnsi="仿宋" w:eastAsia="仿宋_GB2312"/>
          <w:highlight w:val="none"/>
        </w:rPr>
      </w:pPr>
      <w:r>
        <w:rPr>
          <w:rFonts w:hint="eastAsia" w:ascii="仿宋_GB2312" w:hAnsi="仿宋" w:eastAsia="仿宋_GB2312"/>
          <w:highlight w:val="none"/>
        </w:rPr>
        <w:t>法定代表人：</w:t>
      </w:r>
      <w:r>
        <w:rPr>
          <w:rFonts w:hint="eastAsia" w:ascii="仿宋_GB2312" w:hAnsi="仿宋" w:eastAsia="仿宋_GB2312"/>
          <w:highlight w:val="none"/>
          <w:lang w:val="en-US"/>
        </w:rPr>
        <w:t>何嘉敏</w:t>
      </w:r>
    </w:p>
    <w:p>
      <w:pPr>
        <w:keepNext w:val="0"/>
        <w:keepLines w:val="0"/>
        <w:pageBreakBefore w:val="0"/>
        <w:widowControl w:val="0"/>
        <w:kinsoku/>
        <w:wordWrap/>
        <w:overflowPunct/>
        <w:topLinePunct w:val="0"/>
        <w:autoSpaceDE/>
        <w:autoSpaceDN/>
        <w:bidi w:val="0"/>
        <w:adjustRightInd w:val="0"/>
        <w:spacing w:line="500" w:lineRule="exact"/>
        <w:textAlignment w:val="auto"/>
        <w:rPr>
          <w:rFonts w:hint="eastAsia" w:ascii="仿宋_GB2312" w:hAnsi="仿宋" w:eastAsia="仿宋_GB2312"/>
          <w:highlight w:val="none"/>
          <w:lang w:val="en-US" w:eastAsia="zh-CN"/>
        </w:rPr>
      </w:pPr>
      <w:r>
        <w:rPr>
          <w:rFonts w:hint="eastAsia" w:ascii="仿宋_GB2312" w:hAnsi="仿宋" w:eastAsia="仿宋_GB2312"/>
          <w:highlight w:val="none"/>
        </w:rPr>
        <w:t>地址：</w:t>
      </w:r>
      <w:r>
        <w:rPr>
          <w:rFonts w:hint="eastAsia" w:ascii="仿宋_GB2312" w:hAnsi="仿宋" w:eastAsia="仿宋_GB2312"/>
          <w:highlight w:val="none"/>
          <w:lang w:val="en-US" w:eastAsia="zh-CN"/>
        </w:rPr>
        <w:t>江门市蓬江区荷塘镇白藤路22号之一</w:t>
      </w:r>
    </w:p>
    <w:p>
      <w:pPr>
        <w:keepNext w:val="0"/>
        <w:keepLines w:val="0"/>
        <w:pageBreakBefore w:val="0"/>
        <w:kinsoku/>
        <w:wordWrap/>
        <w:overflowPunct/>
        <w:topLinePunct w:val="0"/>
        <w:autoSpaceDE/>
        <w:autoSpaceDN/>
        <w:bidi w:val="0"/>
        <w:spacing w:line="500" w:lineRule="exact"/>
        <w:textAlignment w:val="auto"/>
        <w:rPr>
          <w:rFonts w:hint="eastAsia" w:ascii="仿宋_GB2312" w:hAnsi="仿宋" w:eastAsia="仿宋_GB2312"/>
          <w:sz w:val="32"/>
          <w:szCs w:val="32"/>
          <w:highlight w:val="none"/>
          <w:lang w:eastAsia="zh-CN"/>
        </w:rPr>
      </w:pPr>
    </w:p>
    <w:p>
      <w:pPr>
        <w:keepNext w:val="0"/>
        <w:keepLines w:val="0"/>
        <w:pageBreakBefore w:val="0"/>
        <w:kinsoku/>
        <w:wordWrap/>
        <w:overflowPunct/>
        <w:topLinePunct w:val="0"/>
        <w:autoSpaceDE/>
        <w:autoSpaceDN/>
        <w:bidi w:val="0"/>
        <w:adjustRightInd w:val="0"/>
        <w:snapToGrid w:val="0"/>
        <w:spacing w:line="500" w:lineRule="exact"/>
        <w:ind w:firstLine="620" w:firstLineChars="196"/>
        <w:textAlignment w:val="auto"/>
        <w:rPr>
          <w:rFonts w:hint="eastAsia" w:ascii="黑体" w:hAnsi="黑体" w:eastAsia="黑体" w:cs="黑体"/>
          <w:b w:val="0"/>
          <w:bCs/>
          <w:sz w:val="32"/>
          <w:szCs w:val="32"/>
        </w:rPr>
      </w:pPr>
      <w:r>
        <w:rPr>
          <w:rFonts w:hint="eastAsia" w:ascii="黑体" w:hAnsi="黑体" w:eastAsia="黑体" w:cs="黑体"/>
          <w:b w:val="0"/>
          <w:bCs/>
          <w:sz w:val="32"/>
          <w:szCs w:val="32"/>
        </w:rPr>
        <w:t>一、环境违法事实和证据</w:t>
      </w:r>
    </w:p>
    <w:p>
      <w:pPr>
        <w:keepNext w:val="0"/>
        <w:keepLines w:val="0"/>
        <w:pageBreakBefore w:val="0"/>
        <w:widowControl/>
        <w:kinsoku/>
        <w:wordWrap/>
        <w:overflowPunct/>
        <w:topLinePunct w:val="0"/>
        <w:autoSpaceDE/>
        <w:autoSpaceDN/>
        <w:bidi w:val="0"/>
        <w:adjustRightInd w:val="0"/>
        <w:snapToGrid w:val="0"/>
        <w:spacing w:line="500" w:lineRule="exact"/>
        <w:ind w:firstLine="620" w:firstLineChars="196"/>
        <w:textAlignment w:val="auto"/>
        <w:rPr>
          <w:rFonts w:hint="eastAsia" w:ascii="仿宋_GB2312" w:hAnsi="仿宋" w:eastAsia="仿宋_GB2312"/>
          <w:color w:val="000000"/>
          <w:sz w:val="32"/>
          <w:szCs w:val="32"/>
          <w:lang w:val="en-US" w:eastAsia="zh-CN"/>
        </w:rPr>
      </w:pPr>
      <w:r>
        <w:rPr>
          <w:rFonts w:hint="eastAsia" w:ascii="仿宋_GB2312" w:hAnsi="仿宋" w:eastAsia="仿宋_GB2312"/>
          <w:color w:val="000000"/>
          <w:sz w:val="32"/>
          <w:szCs w:val="32"/>
          <w:lang w:val="en-US" w:eastAsia="zh-CN"/>
        </w:rPr>
        <w:t>2023年7月20日，我局执法人员对你单位进行现场检查，发现你单位存在以下环境违法行为：</w:t>
      </w:r>
    </w:p>
    <w:p>
      <w:pPr>
        <w:keepNext w:val="0"/>
        <w:keepLines w:val="0"/>
        <w:pageBreakBefore w:val="0"/>
        <w:widowControl/>
        <w:kinsoku/>
        <w:wordWrap/>
        <w:overflowPunct/>
        <w:topLinePunct w:val="0"/>
        <w:autoSpaceDE/>
        <w:autoSpaceDN/>
        <w:bidi w:val="0"/>
        <w:adjustRightInd w:val="0"/>
        <w:snapToGrid w:val="0"/>
        <w:spacing w:line="500" w:lineRule="exact"/>
        <w:ind w:firstLine="620" w:firstLineChars="196"/>
        <w:textAlignment w:val="auto"/>
        <w:rPr>
          <w:rFonts w:hint="eastAsia" w:ascii="仿宋_GB2312" w:hAnsi="仿宋" w:eastAsia="仿宋_GB2312"/>
          <w:color w:val="auto"/>
          <w:sz w:val="32"/>
          <w:szCs w:val="32"/>
          <w:highlight w:val="none"/>
          <w:lang w:val="en-US" w:eastAsia="zh-CN"/>
        </w:rPr>
      </w:pPr>
      <w:r>
        <w:rPr>
          <w:rFonts w:hint="eastAsia" w:ascii="仿宋_GB2312" w:hAnsi="仿宋" w:eastAsia="仿宋_GB2312"/>
          <w:color w:val="000000"/>
          <w:sz w:val="32"/>
          <w:szCs w:val="32"/>
          <w:lang w:val="en-US" w:eastAsia="zh-CN"/>
        </w:rPr>
        <w:t>你单位主要从事水泥制品制造项目，该项目属于《建设项目环境影响评价分类管理名录（2021年版）》二十七、非金属矿物制品业30-第55小项：石膏、水泥制品及类似制品制造302-水泥制品制造，应编制环境影响评价报告表。该项目在未经审批部门审查批准的情况下，于2022年7月进行开工建设，2023年5月建成，项目总投资额为517万元。</w:t>
      </w:r>
    </w:p>
    <w:p>
      <w:pPr>
        <w:keepNext w:val="0"/>
        <w:keepLines w:val="0"/>
        <w:pageBreakBefore w:val="0"/>
        <w:widowControl/>
        <w:kinsoku/>
        <w:wordWrap/>
        <w:overflowPunct/>
        <w:topLinePunct w:val="0"/>
        <w:autoSpaceDE/>
        <w:autoSpaceDN/>
        <w:bidi w:val="0"/>
        <w:adjustRightInd w:val="0"/>
        <w:snapToGrid w:val="0"/>
        <w:spacing w:line="500" w:lineRule="exact"/>
        <w:ind w:firstLine="620" w:firstLineChars="196"/>
        <w:textAlignment w:val="auto"/>
        <w:rPr>
          <w:rFonts w:hint="eastAsia" w:ascii="仿宋_GB2312" w:hAnsi="仿宋" w:eastAsia="仿宋_GB2312"/>
          <w:color w:val="FF0000"/>
          <w:sz w:val="32"/>
          <w:szCs w:val="32"/>
          <w:lang w:val="en-US" w:eastAsia="zh-CN"/>
        </w:rPr>
      </w:pPr>
      <w:r>
        <w:rPr>
          <w:rFonts w:hint="eastAsia" w:ascii="仿宋_GB2312" w:hAnsi="仿宋" w:eastAsia="仿宋_GB2312"/>
          <w:color w:val="000000"/>
          <w:sz w:val="32"/>
          <w:szCs w:val="32"/>
          <w:lang w:val="en-US" w:eastAsia="zh-CN"/>
        </w:rPr>
        <w:t>上述事实有我局2023年7月20日现场检查（勘察）记录、调查询问笔录、现场检查拍摄照片与视频，《工业品购销合同》《建设工程施工合同》《&lt;江门市达炜水泥制品有限公司商品砂浆生产项目建设工程设计合同&gt;补充协议2》《江门市达炜水泥制品有限公司XX安装工程施工合同》《分离机设备购销合同》《购销合同书（合同编号：GL20221218）》《情况说明》《厂房租赁合同》《江门市生态环</w:t>
      </w:r>
      <w:bookmarkStart w:id="0" w:name="_GoBack"/>
      <w:bookmarkEnd w:id="0"/>
      <w:r>
        <w:rPr>
          <w:rFonts w:hint="eastAsia" w:ascii="仿宋_GB2312" w:hAnsi="仿宋" w:eastAsia="仿宋_GB2312"/>
          <w:color w:val="000000"/>
          <w:sz w:val="32"/>
          <w:szCs w:val="32"/>
          <w:lang w:val="en-US" w:eastAsia="zh-CN"/>
        </w:rPr>
        <w:t>境局改正违法行为通知书（NO：2200313）》《江门市生态环境局当事人送达地址确认书》等为证</w:t>
      </w:r>
      <w:r>
        <w:rPr>
          <w:rFonts w:hint="eastAsia" w:ascii="仿宋_GB2312" w:hAnsi="仿宋" w:eastAsia="仿宋_GB2312"/>
          <w:color w:val="000000"/>
          <w:sz w:val="32"/>
          <w:szCs w:val="32"/>
        </w:rPr>
        <w:t>。</w:t>
      </w:r>
      <w:r>
        <w:rPr>
          <w:rFonts w:hint="eastAsia" w:ascii="仿宋_GB2312" w:hAnsi="仿宋" w:eastAsia="仿宋_GB2312"/>
          <w:color w:val="FF0000"/>
          <w:sz w:val="32"/>
          <w:szCs w:val="32"/>
          <w:lang w:val="en-US" w:eastAsia="zh-CN"/>
        </w:rPr>
        <w:t xml:space="preserve">    </w:t>
      </w:r>
    </w:p>
    <w:p>
      <w:pPr>
        <w:keepNext w:val="0"/>
        <w:keepLines w:val="0"/>
        <w:pageBreakBefore w:val="0"/>
        <w:widowControl/>
        <w:kinsoku/>
        <w:wordWrap/>
        <w:overflowPunct/>
        <w:topLinePunct w:val="0"/>
        <w:autoSpaceDE/>
        <w:autoSpaceDN/>
        <w:bidi w:val="0"/>
        <w:adjustRightInd w:val="0"/>
        <w:snapToGrid w:val="0"/>
        <w:spacing w:line="500" w:lineRule="exact"/>
        <w:ind w:firstLine="620" w:firstLineChars="196"/>
        <w:textAlignment w:val="auto"/>
        <w:rPr>
          <w:rFonts w:hint="eastAsia" w:ascii="黑体" w:hAnsi="黑体" w:eastAsia="黑体" w:cs="黑体"/>
          <w:b w:val="0"/>
          <w:bCs/>
          <w:sz w:val="32"/>
          <w:szCs w:val="32"/>
        </w:rPr>
      </w:pPr>
      <w:r>
        <w:rPr>
          <w:rFonts w:hint="eastAsia" w:ascii="黑体" w:hAnsi="黑体" w:eastAsia="黑体" w:cs="黑体"/>
          <w:b w:val="0"/>
          <w:bCs/>
          <w:sz w:val="32"/>
          <w:szCs w:val="32"/>
        </w:rPr>
        <w:t>二、责令改正的依据、种类及其履行方式和期限</w:t>
      </w:r>
    </w:p>
    <w:p>
      <w:pPr>
        <w:keepNext w:val="0"/>
        <w:keepLines w:val="0"/>
        <w:pageBreakBefore w:val="0"/>
        <w:kinsoku/>
        <w:wordWrap/>
        <w:overflowPunct/>
        <w:topLinePunct w:val="0"/>
        <w:autoSpaceDE/>
        <w:autoSpaceDN/>
        <w:bidi w:val="0"/>
        <w:spacing w:line="500" w:lineRule="exact"/>
        <w:ind w:firstLine="632" w:firstLineChars="200"/>
        <w:textAlignment w:val="auto"/>
        <w:rPr>
          <w:rFonts w:hint="eastAsia" w:ascii="仿宋_GB2312" w:hAnsi="仿宋" w:eastAsia="仿宋_GB2312"/>
          <w:b/>
          <w:sz w:val="32"/>
          <w:szCs w:val="32"/>
        </w:rPr>
      </w:pPr>
      <w:r>
        <w:rPr>
          <w:rFonts w:hint="eastAsia" w:ascii="仿宋_GB2312" w:hAnsi="仿宋" w:eastAsia="仿宋_GB2312"/>
          <w:highlight w:val="none"/>
        </w:rPr>
        <w:t>你单位的</w:t>
      </w:r>
      <w:r>
        <w:rPr>
          <w:rFonts w:hint="eastAsia" w:ascii="仿宋_GB2312" w:hAnsi="仿宋" w:eastAsia="仿宋_GB2312"/>
          <w:highlight w:val="none"/>
          <w:lang w:eastAsia="zh-CN"/>
        </w:rPr>
        <w:t>上述行为，违反了《中华人民共和国环境影响评价法》第二十五条的规定</w:t>
      </w:r>
      <w:r>
        <w:rPr>
          <w:rFonts w:hint="eastAsia" w:ascii="仿宋_GB2312" w:hAnsi="仿宋" w:eastAsia="仿宋_GB2312"/>
          <w:highlight w:val="none"/>
        </w:rPr>
        <w:t>。</w:t>
      </w:r>
      <w:r>
        <w:rPr>
          <w:rFonts w:hint="eastAsia" w:ascii="仿宋_GB2312" w:hAnsi="仿宋" w:eastAsia="仿宋_GB2312"/>
          <w:highlight w:val="none"/>
          <w:lang w:eastAsia="zh-CN"/>
        </w:rPr>
        <w:t>依据《中华人民共和国环境影响评价法》第三十一条第一款、第二款</w:t>
      </w:r>
      <w:r>
        <w:rPr>
          <w:rFonts w:hint="eastAsia" w:ascii="仿宋_GB2312" w:hAnsi="仿宋" w:eastAsia="仿宋_GB2312"/>
          <w:highlight w:val="none"/>
        </w:rPr>
        <w:t>的规</w:t>
      </w:r>
      <w:r>
        <w:rPr>
          <w:rFonts w:hint="eastAsia" w:ascii="仿宋_GB2312" w:hAnsi="仿宋" w:eastAsia="仿宋_GB2312"/>
          <w:sz w:val="32"/>
          <w:szCs w:val="32"/>
        </w:rPr>
        <w:t>定</w:t>
      </w:r>
      <w:r>
        <w:rPr>
          <w:rFonts w:hint="eastAsia" w:ascii="仿宋_GB2312" w:hAnsi="仿宋" w:eastAsia="仿宋_GB2312"/>
          <w:color w:val="000000"/>
          <w:sz w:val="32"/>
          <w:szCs w:val="32"/>
        </w:rPr>
        <w:t>，</w:t>
      </w:r>
      <w:r>
        <w:rPr>
          <w:rFonts w:hint="eastAsia" w:ascii="仿宋_GB2312" w:hAnsi="仿宋" w:eastAsia="仿宋_GB2312"/>
          <w:b/>
          <w:bCs/>
          <w:color w:val="000000"/>
          <w:sz w:val="32"/>
          <w:szCs w:val="32"/>
          <w:lang w:eastAsia="zh-CN"/>
        </w:rPr>
        <w:t>我局</w:t>
      </w:r>
      <w:r>
        <w:rPr>
          <w:rFonts w:hint="eastAsia" w:ascii="仿宋_GB2312" w:hAnsi="仿宋" w:eastAsia="仿宋_GB2312"/>
          <w:b/>
          <w:sz w:val="32"/>
          <w:szCs w:val="32"/>
        </w:rPr>
        <w:t>责令你单位</w:t>
      </w:r>
      <w:r>
        <w:rPr>
          <w:rFonts w:hint="eastAsia" w:ascii="仿宋_GB2312" w:hAnsi="仿宋" w:eastAsia="仿宋_GB2312"/>
          <w:b/>
          <w:sz w:val="32"/>
          <w:szCs w:val="32"/>
          <w:lang w:eastAsia="zh-CN"/>
        </w:rPr>
        <w:t>自收到本决定书之日起</w:t>
      </w:r>
      <w:r>
        <w:rPr>
          <w:rFonts w:hint="eastAsia" w:ascii="仿宋_GB2312" w:hAnsi="仿宋" w:eastAsia="仿宋_GB2312"/>
          <w:b/>
          <w:sz w:val="32"/>
          <w:szCs w:val="32"/>
          <w:lang w:val="en-US" w:eastAsia="zh-CN"/>
        </w:rPr>
        <w:t>立即改正水泥制品制造项目环境影响报告表未经批准擅自开工建设的违法行为。</w:t>
      </w:r>
    </w:p>
    <w:p>
      <w:pPr>
        <w:keepNext w:val="0"/>
        <w:keepLines w:val="0"/>
        <w:pageBreakBefore w:val="0"/>
        <w:kinsoku/>
        <w:wordWrap/>
        <w:overflowPunct/>
        <w:topLinePunct w:val="0"/>
        <w:autoSpaceDE/>
        <w:autoSpaceDN/>
        <w:bidi w:val="0"/>
        <w:spacing w:line="500" w:lineRule="exact"/>
        <w:ind w:firstLine="632" w:firstLineChars="200"/>
        <w:textAlignment w:val="auto"/>
        <w:rPr>
          <w:rFonts w:hint="eastAsia" w:ascii="黑体" w:hAnsi="黑体" w:eastAsia="黑体" w:cs="黑体"/>
          <w:b w:val="0"/>
          <w:bCs/>
          <w:sz w:val="32"/>
          <w:szCs w:val="32"/>
        </w:rPr>
      </w:pPr>
      <w:r>
        <w:rPr>
          <w:rFonts w:hint="eastAsia" w:ascii="黑体" w:hAnsi="黑体" w:eastAsia="黑体" w:cs="黑体"/>
          <w:b w:val="0"/>
          <w:bCs/>
          <w:sz w:val="32"/>
          <w:szCs w:val="32"/>
        </w:rPr>
        <w:t>三、申请复议或者提起诉讼的途径和期限</w:t>
      </w:r>
    </w:p>
    <w:p>
      <w:pPr>
        <w:keepNext w:val="0"/>
        <w:keepLines w:val="0"/>
        <w:pageBreakBefore w:val="0"/>
        <w:widowControl/>
        <w:kinsoku/>
        <w:wordWrap/>
        <w:overflowPunct/>
        <w:topLinePunct w:val="0"/>
        <w:autoSpaceDE/>
        <w:autoSpaceDN/>
        <w:bidi w:val="0"/>
        <w:adjustRightInd w:val="0"/>
        <w:snapToGrid w:val="0"/>
        <w:spacing w:line="500" w:lineRule="exact"/>
        <w:textAlignment w:val="auto"/>
        <w:rPr>
          <w:rFonts w:hint="eastAsia" w:ascii="仿宋_GB2312" w:hAnsi="仿宋" w:eastAsia="仿宋_GB2312"/>
          <w:sz w:val="32"/>
          <w:szCs w:val="32"/>
        </w:rPr>
      </w:pPr>
      <w:r>
        <w:rPr>
          <w:rFonts w:hint="eastAsia" w:ascii="仿宋_GB2312" w:hAnsi="仿宋" w:eastAsia="仿宋_GB2312"/>
          <w:b/>
          <w:sz w:val="32"/>
          <w:szCs w:val="32"/>
        </w:rPr>
        <w:t xml:space="preserve">    </w:t>
      </w:r>
      <w:r>
        <w:rPr>
          <w:rFonts w:hint="eastAsia" w:ascii="仿宋_GB2312" w:hAnsi="仿宋" w:eastAsia="仿宋_GB2312"/>
        </w:rPr>
        <w:t>如对本决定不服，可以在接到本决定书之日起六十日内向江门市人民政府（受理地址：江门市人民政府行政复议办公室，江门市蓬江区西园里中三号之一江门市人民政府西侧门）提出行政复议申请，也可在接到本决定书六个月内直接向江门市江海区人民法院提起行政起诉。逾期不申请行政复议，也不提起诉讼，又不履行本决定的，我局将依法申请人民法院强制执行。</w:t>
      </w:r>
    </w:p>
    <w:p>
      <w:pPr>
        <w:keepNext w:val="0"/>
        <w:keepLines w:val="0"/>
        <w:pageBreakBefore w:val="0"/>
        <w:widowControl/>
        <w:kinsoku/>
        <w:wordWrap/>
        <w:overflowPunct/>
        <w:topLinePunct w:val="0"/>
        <w:autoSpaceDE/>
        <w:autoSpaceDN/>
        <w:bidi w:val="0"/>
        <w:adjustRightInd w:val="0"/>
        <w:snapToGrid w:val="0"/>
        <w:spacing w:line="500" w:lineRule="exact"/>
        <w:textAlignment w:val="auto"/>
        <w:rPr>
          <w:rFonts w:hint="eastAsia" w:ascii="仿宋_GB2312" w:hAnsi="仿宋" w:eastAsia="仿宋_GB2312"/>
          <w:b/>
          <w:sz w:val="32"/>
          <w:szCs w:val="32"/>
        </w:rPr>
      </w:pPr>
    </w:p>
    <w:p>
      <w:pPr>
        <w:keepNext w:val="0"/>
        <w:keepLines w:val="0"/>
        <w:pageBreakBefore w:val="0"/>
        <w:kinsoku/>
        <w:wordWrap/>
        <w:overflowPunct/>
        <w:topLinePunct w:val="0"/>
        <w:autoSpaceDE/>
        <w:autoSpaceDN/>
        <w:bidi w:val="0"/>
        <w:adjustRightInd w:val="0"/>
        <w:snapToGrid w:val="0"/>
        <w:spacing w:line="500" w:lineRule="exact"/>
        <w:ind w:firstLine="632" w:firstLineChars="200"/>
        <w:textAlignment w:val="auto"/>
        <w:rPr>
          <w:rFonts w:hint="eastAsia" w:ascii="仿宋_GB2312" w:hAnsi="仿宋" w:eastAsia="仿宋_GB2312"/>
          <w:highlight w:val="none"/>
        </w:rPr>
      </w:pPr>
      <w:r>
        <w:rPr>
          <w:rFonts w:hint="eastAsia" w:ascii="仿宋_GB2312" w:hAnsi="仿宋" w:eastAsia="仿宋_GB2312"/>
          <w:highlight w:val="none"/>
        </w:rPr>
        <w:t>地址：江门市蓬江区胜利路154号珠西创谷自编1号楼5楼</w:t>
      </w:r>
    </w:p>
    <w:p>
      <w:pPr>
        <w:keepNext w:val="0"/>
        <w:keepLines w:val="0"/>
        <w:pageBreakBefore w:val="0"/>
        <w:kinsoku/>
        <w:wordWrap/>
        <w:overflowPunct/>
        <w:topLinePunct w:val="0"/>
        <w:autoSpaceDE/>
        <w:autoSpaceDN/>
        <w:bidi w:val="0"/>
        <w:adjustRightInd w:val="0"/>
        <w:snapToGrid w:val="0"/>
        <w:spacing w:line="500" w:lineRule="exact"/>
        <w:ind w:firstLine="632" w:firstLineChars="200"/>
        <w:textAlignment w:val="auto"/>
        <w:rPr>
          <w:rFonts w:hint="eastAsia" w:ascii="仿宋_GB2312" w:hAnsi="仿宋" w:eastAsia="仿宋_GB2312"/>
          <w:b/>
          <w:sz w:val="32"/>
          <w:szCs w:val="32"/>
        </w:rPr>
      </w:pPr>
      <w:r>
        <w:rPr>
          <w:rFonts w:hint="eastAsia" w:ascii="仿宋_GB2312" w:hAnsi="仿宋" w:eastAsia="仿宋_GB2312"/>
          <w:highlight w:val="none"/>
        </w:rPr>
        <w:t>联系人：</w:t>
      </w:r>
      <w:r>
        <w:rPr>
          <w:rFonts w:hint="eastAsia" w:ascii="仿宋_GB2312" w:hAnsi="仿宋" w:eastAsia="仿宋_GB2312"/>
          <w:highlight w:val="none"/>
          <w:lang w:eastAsia="zh-CN"/>
        </w:rPr>
        <w:t>李先生</w:t>
      </w:r>
      <w:r>
        <w:rPr>
          <w:rFonts w:hint="eastAsia" w:ascii="仿宋_GB2312" w:hAnsi="仿宋" w:eastAsia="仿宋_GB2312"/>
          <w:highlight w:val="none"/>
        </w:rPr>
        <w:t>，联系电话：0750-3291707</w:t>
      </w:r>
      <w:r>
        <w:rPr>
          <w:rFonts w:hint="eastAsia" w:ascii="仿宋_GB2312" w:hAnsi="仿宋" w:eastAsia="仿宋_GB2312" w:cs="Times New Roman"/>
          <w:sz w:val="32"/>
          <w:szCs w:val="32"/>
        </w:rPr>
        <w:t>。</w:t>
      </w:r>
    </w:p>
    <w:p>
      <w:pPr>
        <w:keepNext w:val="0"/>
        <w:keepLines w:val="0"/>
        <w:pageBreakBefore w:val="0"/>
        <w:widowControl/>
        <w:kinsoku/>
        <w:wordWrap/>
        <w:overflowPunct/>
        <w:topLinePunct w:val="0"/>
        <w:autoSpaceDE/>
        <w:autoSpaceDN/>
        <w:bidi w:val="0"/>
        <w:adjustRightInd w:val="0"/>
        <w:snapToGrid w:val="0"/>
        <w:spacing w:line="520" w:lineRule="exact"/>
        <w:textAlignment w:val="auto"/>
        <w:rPr>
          <w:rFonts w:hint="eastAsia" w:ascii="仿宋_GB2312" w:hAnsi="仿宋" w:eastAsia="仿宋_GB2312"/>
          <w:b/>
          <w:sz w:val="32"/>
          <w:szCs w:val="32"/>
        </w:rPr>
      </w:pPr>
    </w:p>
    <w:p>
      <w:pPr>
        <w:keepNext w:val="0"/>
        <w:keepLines w:val="0"/>
        <w:pageBreakBefore w:val="0"/>
        <w:kinsoku/>
        <w:wordWrap w:val="0"/>
        <w:overflowPunct/>
        <w:topLinePunct w:val="0"/>
        <w:autoSpaceDE/>
        <w:autoSpaceDN/>
        <w:bidi w:val="0"/>
        <w:adjustRightInd w:val="0"/>
        <w:snapToGrid w:val="0"/>
        <w:spacing w:line="440" w:lineRule="exact"/>
        <w:jc w:val="right"/>
        <w:textAlignment w:val="auto"/>
        <w:rPr>
          <w:rFonts w:hint="default" w:ascii="仿宋_GB2312" w:hAnsi="仿宋" w:eastAsia="仿宋_GB2312"/>
          <w:sz w:val="32"/>
          <w:szCs w:val="32"/>
          <w:lang w:val="en-US" w:eastAsia="zh-CN"/>
        </w:rPr>
      </w:pPr>
      <w:r>
        <w:rPr>
          <w:rFonts w:hint="eastAsia" w:ascii="仿宋_GB2312" w:hAnsi="仿宋" w:eastAsia="仿宋_GB2312"/>
          <w:sz w:val="32"/>
          <w:szCs w:val="32"/>
          <w:lang w:val="en-US" w:eastAsia="zh-CN"/>
        </w:rPr>
        <w:t xml:space="preserve">                                </w:t>
      </w:r>
      <w:r>
        <w:rPr>
          <w:rFonts w:hint="eastAsia" w:ascii="仿宋_GB2312" w:hAnsi="仿宋" w:eastAsia="仿宋_GB2312"/>
          <w:sz w:val="32"/>
          <w:szCs w:val="32"/>
        </w:rPr>
        <w:t>江门市生态环境局</w:t>
      </w:r>
      <w:r>
        <w:rPr>
          <w:rFonts w:hint="eastAsia" w:ascii="仿宋_GB2312" w:hAnsi="仿宋" w:eastAsia="仿宋_GB2312"/>
          <w:sz w:val="32"/>
          <w:szCs w:val="32"/>
          <w:lang w:val="en-US" w:eastAsia="zh-CN"/>
        </w:rPr>
        <w:t xml:space="preserve">    </w:t>
      </w:r>
    </w:p>
    <w:p>
      <w:pPr>
        <w:keepNext w:val="0"/>
        <w:keepLines w:val="0"/>
        <w:pageBreakBefore w:val="0"/>
        <w:kinsoku/>
        <w:wordWrap/>
        <w:overflowPunct/>
        <w:topLinePunct w:val="0"/>
        <w:autoSpaceDE/>
        <w:autoSpaceDN/>
        <w:bidi w:val="0"/>
        <w:spacing w:line="440" w:lineRule="exact"/>
        <w:ind w:firstLine="2370" w:firstLineChars="750"/>
        <w:jc w:val="center"/>
        <w:textAlignment w:val="auto"/>
        <w:rPr>
          <w:rFonts w:hint="eastAsia" w:ascii="仿宋_GB2312" w:hAnsi="仿宋" w:eastAsia="仿宋_GB2312"/>
          <w:color w:val="000000" w:themeColor="text1"/>
          <w:sz w:val="32"/>
          <w:szCs w:val="32"/>
          <w:lang w:val="en-US" w:eastAsia="zh-CN"/>
          <w14:textFill>
            <w14:solidFill>
              <w14:schemeClr w14:val="tx1"/>
            </w14:solidFill>
          </w14:textFill>
        </w:rPr>
      </w:pPr>
      <w:r>
        <w:rPr>
          <w:rFonts w:hint="eastAsia" w:ascii="仿宋_GB2312" w:hAnsi="仿宋" w:eastAsia="仿宋_GB2312"/>
          <w:color w:val="000000" w:themeColor="text1"/>
          <w:sz w:val="32"/>
          <w:szCs w:val="32"/>
          <w:lang w:val="en-US" w:eastAsia="zh-CN"/>
          <w14:textFill>
            <w14:solidFill>
              <w14:schemeClr w14:val="tx1"/>
            </w14:solidFill>
          </w14:textFill>
        </w:rPr>
        <w:t xml:space="preserve">                  </w:t>
      </w:r>
      <w:r>
        <w:rPr>
          <w:rFonts w:hint="eastAsia" w:ascii="仿宋_GB2312" w:hAnsi="仿宋" w:eastAsia="仿宋_GB2312"/>
          <w:color w:val="000000" w:themeColor="text1"/>
          <w:sz w:val="32"/>
          <w:szCs w:val="32"/>
          <w14:textFill>
            <w14:solidFill>
              <w14:schemeClr w14:val="tx1"/>
            </w14:solidFill>
          </w14:textFill>
        </w:rPr>
        <w:t>202</w:t>
      </w:r>
      <w:r>
        <w:rPr>
          <w:rFonts w:hint="eastAsia" w:ascii="仿宋_GB2312" w:hAnsi="仿宋" w:eastAsia="仿宋_GB2312"/>
          <w:color w:val="000000" w:themeColor="text1"/>
          <w:sz w:val="32"/>
          <w:szCs w:val="32"/>
          <w:lang w:val="en-US" w:eastAsia="zh-CN"/>
          <w14:textFill>
            <w14:solidFill>
              <w14:schemeClr w14:val="tx1"/>
            </w14:solidFill>
          </w14:textFill>
        </w:rPr>
        <w:t>3</w:t>
      </w:r>
      <w:r>
        <w:rPr>
          <w:rFonts w:hint="eastAsia" w:ascii="仿宋_GB2312" w:hAnsi="仿宋" w:eastAsia="仿宋_GB2312"/>
          <w:color w:val="000000" w:themeColor="text1"/>
          <w:sz w:val="32"/>
          <w:szCs w:val="32"/>
          <w14:textFill>
            <w14:solidFill>
              <w14:schemeClr w14:val="tx1"/>
            </w14:solidFill>
          </w14:textFill>
        </w:rPr>
        <w:t>年</w:t>
      </w:r>
      <w:r>
        <w:rPr>
          <w:rFonts w:hint="eastAsia" w:ascii="仿宋_GB2312" w:hAnsi="仿宋" w:eastAsia="仿宋_GB2312"/>
          <w:color w:val="000000" w:themeColor="text1"/>
          <w:sz w:val="32"/>
          <w:szCs w:val="32"/>
          <w:lang w:val="en-US" w:eastAsia="zh-CN"/>
          <w14:textFill>
            <w14:solidFill>
              <w14:schemeClr w14:val="tx1"/>
            </w14:solidFill>
          </w14:textFill>
        </w:rPr>
        <w:t>10</w:t>
      </w:r>
      <w:r>
        <w:rPr>
          <w:rFonts w:hint="eastAsia" w:ascii="仿宋_GB2312" w:hAnsi="仿宋" w:eastAsia="仿宋_GB2312"/>
          <w:color w:val="000000" w:themeColor="text1"/>
          <w:sz w:val="32"/>
          <w:szCs w:val="32"/>
          <w14:textFill>
            <w14:solidFill>
              <w14:schemeClr w14:val="tx1"/>
            </w14:solidFill>
          </w14:textFill>
        </w:rPr>
        <w:t>月</w:t>
      </w:r>
      <w:r>
        <w:rPr>
          <w:rFonts w:hint="eastAsia" w:ascii="仿宋_GB2312" w:hAnsi="仿宋" w:eastAsia="仿宋_GB2312"/>
          <w:color w:val="000000" w:themeColor="text1"/>
          <w:sz w:val="32"/>
          <w:szCs w:val="32"/>
          <w:lang w:val="en-US" w:eastAsia="zh-CN"/>
          <w14:textFill>
            <w14:solidFill>
              <w14:schemeClr w14:val="tx1"/>
            </w14:solidFill>
          </w14:textFill>
        </w:rPr>
        <w:t>16</w:t>
      </w:r>
      <w:r>
        <w:rPr>
          <w:rFonts w:hint="eastAsia" w:ascii="仿宋_GB2312" w:hAnsi="仿宋" w:eastAsia="仿宋_GB2312"/>
          <w:color w:val="000000" w:themeColor="text1"/>
          <w:sz w:val="32"/>
          <w:szCs w:val="32"/>
          <w14:textFill>
            <w14:solidFill>
              <w14:schemeClr w14:val="tx1"/>
            </w14:solidFill>
          </w14:textFill>
        </w:rPr>
        <w:t>日</w:t>
      </w:r>
      <w:r>
        <w:rPr>
          <w:rFonts w:hint="eastAsia" w:ascii="仿宋_GB2312" w:hAnsi="仿宋" w:eastAsia="仿宋_GB2312"/>
          <w:color w:val="000000" w:themeColor="text1"/>
          <w:sz w:val="32"/>
          <w:szCs w:val="32"/>
          <w:lang w:val="en-US" w:eastAsia="zh-CN"/>
          <w14:textFill>
            <w14:solidFill>
              <w14:schemeClr w14:val="tx1"/>
            </w14:solidFill>
          </w14:textFill>
        </w:rPr>
        <w:t xml:space="preserve">    </w:t>
      </w:r>
    </w:p>
    <w:tbl>
      <w:tblPr>
        <w:tblStyle w:val="4"/>
        <w:tblpPr w:leftFromText="180" w:rightFromText="180" w:vertAnchor="text" w:horzAnchor="page" w:tblpX="1472" w:tblpY="315"/>
        <w:tblW w:w="9123"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9123"/>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90" w:hRule="atLeast"/>
        </w:trPr>
        <w:tc>
          <w:tcPr>
            <w:tcW w:w="9123" w:type="dxa"/>
            <w:tcBorders>
              <w:top w:val="single" w:color="auto" w:sz="4" w:space="0"/>
              <w:left w:val="nil"/>
              <w:bottom w:val="single" w:color="auto" w:sz="4" w:space="0"/>
              <w:right w:val="nil"/>
            </w:tcBorders>
            <w:noWrap w:val="0"/>
            <w:vAlign w:val="top"/>
          </w:tcPr>
          <w:p>
            <w:pPr>
              <w:adjustRightInd w:val="0"/>
              <w:snapToGrid w:val="0"/>
              <w:spacing w:line="540" w:lineRule="exact"/>
              <w:ind w:left="948" w:hanging="948" w:hangingChars="300"/>
              <w:rPr>
                <w:rFonts w:hint="eastAsia" w:ascii="仿宋_GB2312" w:hAnsi="仿宋" w:eastAsia="仿宋_GB2312"/>
                <w:lang w:eastAsia="zh-CN"/>
              </w:rPr>
            </w:pPr>
            <w:r>
              <w:rPr>
                <w:rFonts w:hint="eastAsia" w:ascii="仿宋_GB2312" w:hAnsi="仿宋" w:eastAsia="仿宋_GB2312"/>
              </w:rPr>
              <w:t>抄送：</w:t>
            </w:r>
            <w:r>
              <w:rPr>
                <w:rFonts w:hint="eastAsia" w:ascii="仿宋_GB2312" w:hAnsi="仿宋" w:eastAsia="仿宋_GB2312"/>
                <w:lang w:eastAsia="zh-CN"/>
              </w:rPr>
              <w:t>荷塘镇人民政府</w:t>
            </w:r>
          </w:p>
        </w:tc>
      </w:tr>
    </w:tbl>
    <w:p>
      <w:pPr>
        <w:keepNext w:val="0"/>
        <w:keepLines w:val="0"/>
        <w:pageBreakBefore w:val="0"/>
        <w:widowControl w:val="0"/>
        <w:kinsoku/>
        <w:wordWrap/>
        <w:overflowPunct/>
        <w:topLinePunct w:val="0"/>
        <w:autoSpaceDE/>
        <w:autoSpaceDN/>
        <w:bidi w:val="0"/>
        <w:adjustRightInd/>
        <w:snapToGrid/>
        <w:spacing w:line="20" w:lineRule="exact"/>
        <w:textAlignment w:val="auto"/>
      </w:pPr>
    </w:p>
    <w:sectPr>
      <w:footerReference r:id="rId3" w:type="default"/>
      <w:footerReference r:id="rId4" w:type="even"/>
      <w:pgSz w:w="11906" w:h="16838"/>
      <w:pgMar w:top="2098" w:right="1588" w:bottom="1984" w:left="1588" w:header="851" w:footer="1587" w:gutter="0"/>
      <w:pgNumType w:fmt="numberInDash"/>
      <w:cols w:space="720" w:num="1"/>
      <w:docGrid w:type="linesAndChars" w:linePitch="579"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华文仿宋">
    <w:panose1 w:val="02010600040101010101"/>
    <w:charset w:val="86"/>
    <w:family w:val="auto"/>
    <w:pitch w:val="default"/>
    <w:sig w:usb0="00000287" w:usb1="080F0000" w:usb2="00000000" w:usb3="00000000" w:csb0="0004009F" w:csb1="DFD70000"/>
  </w:font>
  <w:font w:name="仿宋_GB2312">
    <w:panose1 w:val="02010609030101010101"/>
    <w:charset w:val="86"/>
    <w:family w:val="modern"/>
    <w:pitch w:val="default"/>
    <w:sig w:usb0="00000001" w:usb1="080E0000" w:usb2="00000000" w:usb3="00000000" w:csb0="00040000" w:csb1="00000000"/>
  </w:font>
  <w:font w:name="文鼎CS大宋">
    <w:altName w:val="宋体"/>
    <w:panose1 w:val="02010609010101010101"/>
    <w:charset w:val="86"/>
    <w:family w:val="modern"/>
    <w:pitch w:val="default"/>
    <w:sig w:usb0="00000000" w:usb1="00000000" w:usb2="00000010" w:usb3="00000000" w:csb0="00040000" w:csb1="00000000"/>
  </w:font>
  <w:font w:name="华文中宋">
    <w:panose1 w:val="02010600040101010101"/>
    <w:charset w:val="86"/>
    <w:family w:val="auto"/>
    <w:pitch w:val="default"/>
    <w:sig w:usb0="00000287" w:usb1="080F0000" w:usb2="00000000" w:usb3="00000000" w:csb0="0004009F" w:csb1="DFD70000"/>
  </w:font>
  <w:font w:name="方正小标宋_GBK">
    <w:panose1 w:val="03000509000000000000"/>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ind w:right="360" w:firstLine="360"/>
      <w:rPr>
        <w:rFonts w:hint="eastAsia"/>
      </w:rPr>
    </w:pPr>
    <w:r>
      <w:rPr>
        <w:rFonts w:hint="eastAsia"/>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framePr w:wrap="around" w:vAnchor="text" w:hAnchor="margin" w:xAlign="outside" w:y="1"/>
      <w:rPr>
        <w:rStyle w:val="6"/>
        <w:sz w:val="28"/>
        <w:szCs w:val="28"/>
      </w:rPr>
    </w:pPr>
    <w:r>
      <w:rPr>
        <w:rFonts w:hint="default" w:ascii="Times New Roman" w:hAnsi="Times New Roman" w:cs="Times New Roman"/>
        <w:sz w:val="24"/>
        <w:szCs w:val="24"/>
      </w:rPr>
      <w:fldChar w:fldCharType="begin"/>
    </w:r>
    <w:r>
      <w:rPr>
        <w:rStyle w:val="6"/>
        <w:rFonts w:hint="default" w:ascii="Times New Roman" w:hAnsi="Times New Roman" w:cs="Times New Roman"/>
        <w:sz w:val="24"/>
        <w:szCs w:val="24"/>
      </w:rPr>
      <w:instrText xml:space="preserve">PAGE  </w:instrText>
    </w:r>
    <w:r>
      <w:rPr>
        <w:rFonts w:hint="default" w:ascii="Times New Roman" w:hAnsi="Times New Roman" w:cs="Times New Roman"/>
        <w:sz w:val="24"/>
        <w:szCs w:val="24"/>
      </w:rPr>
      <w:fldChar w:fldCharType="separate"/>
    </w:r>
    <w:r>
      <w:rPr>
        <w:rStyle w:val="6"/>
        <w:rFonts w:hint="default" w:ascii="Times New Roman" w:hAnsi="Times New Roman" w:cs="Times New Roman"/>
        <w:sz w:val="24"/>
        <w:szCs w:val="24"/>
      </w:rPr>
      <w:t>- 2 -</w:t>
    </w:r>
    <w:r>
      <w:rPr>
        <w:rFonts w:hint="default" w:ascii="Times New Roman" w:hAnsi="Times New Roman" w:cs="Times New Roman"/>
        <w:sz w:val="24"/>
        <w:szCs w:val="24"/>
      </w:rPr>
      <w:fldChar w:fldCharType="end"/>
    </w:r>
  </w:p>
  <w:p>
    <w:pPr>
      <w:pStyle w:val="2"/>
      <w:ind w:right="360" w:firstLine="360"/>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Y0ZTQxMGVlNzJhOWYyYTI4MmViYmVkMzAzZDc0OGEifQ=="/>
  </w:docVars>
  <w:rsids>
    <w:rsidRoot w:val="04AA761B"/>
    <w:rsid w:val="01267C0A"/>
    <w:rsid w:val="01FE27DF"/>
    <w:rsid w:val="03C92DFF"/>
    <w:rsid w:val="04AA761B"/>
    <w:rsid w:val="04EB522D"/>
    <w:rsid w:val="05545BDE"/>
    <w:rsid w:val="06922992"/>
    <w:rsid w:val="08A92534"/>
    <w:rsid w:val="095137E0"/>
    <w:rsid w:val="0ABB4824"/>
    <w:rsid w:val="0B055B73"/>
    <w:rsid w:val="10AE71F3"/>
    <w:rsid w:val="146A6AAD"/>
    <w:rsid w:val="15535A89"/>
    <w:rsid w:val="171E4867"/>
    <w:rsid w:val="19130428"/>
    <w:rsid w:val="19532F81"/>
    <w:rsid w:val="21F172D5"/>
    <w:rsid w:val="226C60E6"/>
    <w:rsid w:val="237F4D61"/>
    <w:rsid w:val="24F86524"/>
    <w:rsid w:val="25D72CA2"/>
    <w:rsid w:val="27A83FE0"/>
    <w:rsid w:val="28A6795A"/>
    <w:rsid w:val="298469F7"/>
    <w:rsid w:val="2A724EF5"/>
    <w:rsid w:val="2AD72DB1"/>
    <w:rsid w:val="2B2D0AD6"/>
    <w:rsid w:val="2BDF356B"/>
    <w:rsid w:val="2DC436ED"/>
    <w:rsid w:val="2DD24CA5"/>
    <w:rsid w:val="2E03055E"/>
    <w:rsid w:val="306E233D"/>
    <w:rsid w:val="30854084"/>
    <w:rsid w:val="31F74DF8"/>
    <w:rsid w:val="32013B3E"/>
    <w:rsid w:val="335A4A65"/>
    <w:rsid w:val="35576177"/>
    <w:rsid w:val="35D2348B"/>
    <w:rsid w:val="3A2734BB"/>
    <w:rsid w:val="3A8C7409"/>
    <w:rsid w:val="3B8D3AB8"/>
    <w:rsid w:val="3C374130"/>
    <w:rsid w:val="3F204410"/>
    <w:rsid w:val="3FBC5879"/>
    <w:rsid w:val="3FC24EF0"/>
    <w:rsid w:val="410809CE"/>
    <w:rsid w:val="41D36003"/>
    <w:rsid w:val="46677156"/>
    <w:rsid w:val="4852354C"/>
    <w:rsid w:val="4B423DF9"/>
    <w:rsid w:val="4BE26767"/>
    <w:rsid w:val="4C007F1B"/>
    <w:rsid w:val="4F5C0CB1"/>
    <w:rsid w:val="50771C86"/>
    <w:rsid w:val="50D510C3"/>
    <w:rsid w:val="522F1649"/>
    <w:rsid w:val="54F94BCA"/>
    <w:rsid w:val="591744C5"/>
    <w:rsid w:val="5D5E1217"/>
    <w:rsid w:val="5E131A44"/>
    <w:rsid w:val="5FCE7574"/>
    <w:rsid w:val="60A5027F"/>
    <w:rsid w:val="62390BCD"/>
    <w:rsid w:val="624D3D9E"/>
    <w:rsid w:val="625429F7"/>
    <w:rsid w:val="62B4751F"/>
    <w:rsid w:val="63BC3FFA"/>
    <w:rsid w:val="63F43D7F"/>
    <w:rsid w:val="64073D4E"/>
    <w:rsid w:val="64E149AB"/>
    <w:rsid w:val="67D04039"/>
    <w:rsid w:val="6AF50303"/>
    <w:rsid w:val="6D30041F"/>
    <w:rsid w:val="6D362C62"/>
    <w:rsid w:val="6EEB1AD5"/>
    <w:rsid w:val="6EEB62D7"/>
    <w:rsid w:val="6F161502"/>
    <w:rsid w:val="70856D5E"/>
    <w:rsid w:val="70CF3BCB"/>
    <w:rsid w:val="73E352B6"/>
    <w:rsid w:val="741E6A0C"/>
    <w:rsid w:val="76DB54DE"/>
    <w:rsid w:val="79A46B02"/>
    <w:rsid w:val="7A6B4BEA"/>
    <w:rsid w:val="7A754D2E"/>
    <w:rsid w:val="7B8C7C09"/>
    <w:rsid w:val="7BC507A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华文仿宋" w:cs="Times New Roman"/>
      <w:kern w:val="2"/>
      <w:sz w:val="32"/>
      <w:szCs w:val="32"/>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szCs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character" w:styleId="6">
    <w:name w:val="page number"/>
    <w:basedOn w:val="5"/>
    <w:qFormat/>
    <w:uiPriority w:val="0"/>
    <w:rPr>
      <w:rFonts w:ascii="仿宋_GB2312" w:eastAsia="仿宋_GB2312"/>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Pages>
  <Words>796</Words>
  <Characters>857</Characters>
  <Lines>0</Lines>
  <Paragraphs>0</Paragraphs>
  <TotalTime>3</TotalTime>
  <ScaleCrop>false</ScaleCrop>
  <LinksUpToDate>false</LinksUpToDate>
  <CharactersWithSpaces>922</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2021-09-01T08:13:00Z</dcterms:created>
  <dc:creator>萌cry你虎哥</dc:creator>
  <cp:lastModifiedBy>简某某</cp:lastModifiedBy>
  <cp:lastPrinted>2022-08-10T08:46:00Z</cp:lastPrinted>
  <dcterms:modified xsi:type="dcterms:W3CDTF">2023-10-18T08:58:17Z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BFDE6B0C952242A19031BBFBE85B13E3</vt:lpwstr>
  </property>
</Properties>
</file>