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江门市滨江新区启动区PJ01-W-03</w:t>
      </w:r>
      <w:r>
        <w:rPr>
          <w:rFonts w:hint="eastAsia" w:ascii="方正小标宋简体" w:hAnsi="方正小标宋简体" w:eastAsia="方正小标宋简体"/>
          <w:sz w:val="44"/>
          <w:szCs w:val="44"/>
          <w:lang w:val="en-US" w:eastAsia="zh-CN"/>
        </w:rPr>
        <w:t>地段</w:t>
      </w: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sz w:val="44"/>
          <w:szCs w:val="44"/>
        </w:rPr>
        <w:t>a</w:t>
      </w:r>
      <w:r>
        <w:rPr>
          <w:rFonts w:hint="eastAsia" w:ascii="方正小标宋简体" w:hAnsi="方正小标宋简体" w:eastAsia="方正小标宋简体"/>
          <w:sz w:val="44"/>
          <w:szCs w:val="44"/>
          <w:lang w:val="en-US" w:eastAsia="zh-CN"/>
        </w:rPr>
        <w:t>01地块</w:t>
      </w: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sz w:val="44"/>
          <w:szCs w:val="44"/>
        </w:rPr>
        <w:t>土壤污染状况调查项目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p>
      <w:pPr>
        <w:jc w:val="center"/>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目  录</w:t>
      </w:r>
    </w:p>
    <w:sdt>
      <w:sdtPr>
        <w:rPr>
          <w:rFonts w:ascii="宋体" w:hAnsi="宋体" w:eastAsia="宋体" w:cstheme="minorBidi"/>
          <w:kern w:val="2"/>
          <w:sz w:val="21"/>
          <w:szCs w:val="22"/>
          <w:lang w:val="en-US" w:eastAsia="zh-CN" w:bidi="ar-SA"/>
        </w:rPr>
        <w:id w:val="147474033"/>
        <w:docPartObj>
          <w:docPartGallery w:val="Table of Contents"/>
          <w:docPartUnique/>
        </w:docPartObj>
      </w:sdtPr>
      <w:sdtEndPr>
        <w:rPr>
          <w:rFonts w:hint="eastAsia" w:ascii="方正小标宋简体" w:hAnsi="方正小标宋简体" w:eastAsia="方正小标宋简体" w:cs="方正小标宋简体"/>
          <w:color w:val="000000"/>
          <w:kern w:val="0"/>
          <w:sz w:val="21"/>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color w:val="000000"/>
              <w:kern w:val="0"/>
              <w:sz w:val="32"/>
              <w:szCs w:val="32"/>
              <w:lang w:val="en-US" w:eastAsia="zh-CN"/>
            </w:rPr>
            <w:fldChar w:fldCharType="begin"/>
          </w:r>
          <w:r>
            <w:rPr>
              <w:rFonts w:hint="eastAsia" w:ascii="方正小标宋简体" w:hAnsi="方正小标宋简体" w:eastAsia="方正小标宋简体" w:cs="方正小标宋简体"/>
              <w:color w:val="000000"/>
              <w:kern w:val="0"/>
              <w:sz w:val="32"/>
              <w:szCs w:val="32"/>
              <w:lang w:val="en-US" w:eastAsia="zh-CN"/>
            </w:rPr>
            <w:instrText xml:space="preserve">TOC \o "1-3" \h \u </w:instrText>
          </w:r>
          <w:r>
            <w:rPr>
              <w:rFonts w:hint="eastAsia" w:ascii="方正小标宋简体" w:hAnsi="方正小标宋简体" w:eastAsia="方正小标宋简体" w:cs="方正小标宋简体"/>
              <w:color w:val="000000"/>
              <w:kern w:val="0"/>
              <w:sz w:val="32"/>
              <w:szCs w:val="32"/>
              <w:lang w:val="en-US" w:eastAsia="zh-CN"/>
            </w:rPr>
            <w:fldChar w:fldCharType="separate"/>
          </w:r>
          <w:r>
            <w:rPr>
              <w:rFonts w:hint="default" w:ascii="Times New Roman" w:hAnsi="Times New Roman" w:eastAsia="方正小标宋简体" w:cs="Times New Roman"/>
              <w:color w:val="000000"/>
              <w:kern w:val="0"/>
              <w:sz w:val="32"/>
              <w:szCs w:val="32"/>
              <w:lang w:val="en-US" w:eastAsia="zh-CN"/>
            </w:rPr>
            <w:fldChar w:fldCharType="begin"/>
          </w:r>
          <w:r>
            <w:rPr>
              <w:rFonts w:hint="default" w:ascii="Times New Roman" w:hAnsi="Times New Roman" w:eastAsia="方正小标宋简体" w:cs="Times New Roman"/>
              <w:kern w:val="0"/>
              <w:sz w:val="32"/>
              <w:szCs w:val="32"/>
              <w:lang w:val="en-US" w:eastAsia="zh-CN"/>
            </w:rPr>
            <w:instrText xml:space="preserve"> HYPERLINK \l _Toc19903 </w:instrText>
          </w:r>
          <w:r>
            <w:rPr>
              <w:rFonts w:hint="default" w:ascii="Times New Roman" w:hAnsi="Times New Roman" w:eastAsia="方正小标宋简体" w:cs="Times New Roman"/>
              <w:kern w:val="0"/>
              <w:sz w:val="32"/>
              <w:szCs w:val="32"/>
              <w:lang w:val="en-US" w:eastAsia="zh-CN"/>
            </w:rPr>
            <w:fldChar w:fldCharType="separate"/>
          </w:r>
          <w:r>
            <w:rPr>
              <w:rFonts w:hint="default" w:ascii="Times New Roman" w:hAnsi="Times New Roman" w:eastAsia="方正小标宋简体" w:cs="Times New Roman"/>
              <w:kern w:val="0"/>
              <w:sz w:val="32"/>
              <w:szCs w:val="32"/>
            </w:rPr>
            <w:t>第一部分报价表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_Toc19903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eastAsia="方正小标宋简体" w:cs="Times New Roman"/>
              <w:color w:val="000000"/>
              <w:kern w:val="0"/>
              <w:sz w:val="32"/>
              <w:szCs w:val="32"/>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32"/>
              <w:szCs w:val="32"/>
              <w:lang w:val="en-US" w:eastAsia="zh-CN"/>
            </w:rPr>
            <w:fldChar w:fldCharType="begin"/>
          </w:r>
          <w:r>
            <w:rPr>
              <w:rFonts w:hint="default" w:ascii="Times New Roman" w:hAnsi="Times New Roman" w:eastAsia="方正小标宋简体" w:cs="Times New Roman"/>
              <w:kern w:val="0"/>
              <w:sz w:val="32"/>
              <w:szCs w:val="32"/>
              <w:lang w:val="en-US" w:eastAsia="zh-CN"/>
            </w:rPr>
            <w:instrText xml:space="preserve"> HYPERLINK \l _Toc26514 </w:instrText>
          </w:r>
          <w:r>
            <w:rPr>
              <w:rFonts w:hint="default" w:ascii="Times New Roman" w:hAnsi="Times New Roman" w:eastAsia="方正小标宋简体" w:cs="Times New Roman"/>
              <w:kern w:val="0"/>
              <w:sz w:val="32"/>
              <w:szCs w:val="32"/>
              <w:lang w:val="en-US" w:eastAsia="zh-CN"/>
            </w:rPr>
            <w:fldChar w:fldCharType="separate"/>
          </w:r>
          <w:r>
            <w:rPr>
              <w:rFonts w:hint="default" w:ascii="Times New Roman" w:hAnsi="Times New Roman" w:eastAsia="方正小标宋简体" w:cs="Times New Roman"/>
              <w:kern w:val="0"/>
              <w:sz w:val="32"/>
              <w:szCs w:val="32"/>
            </w:rPr>
            <w:t>第二部分资格审查表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_Toc26514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eastAsia="方正小标宋简体" w:cs="Times New Roman"/>
              <w:color w:val="000000"/>
              <w:kern w:val="0"/>
              <w:sz w:val="32"/>
              <w:szCs w:val="32"/>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方正小标宋简体" w:cs="Times New Roman"/>
              <w:color w:val="000000"/>
              <w:kern w:val="0"/>
              <w:sz w:val="24"/>
              <w:szCs w:val="24"/>
              <w:lang w:val="en-US" w:eastAsia="zh-CN"/>
            </w:rPr>
            <w:fldChar w:fldCharType="begin"/>
          </w:r>
          <w:r>
            <w:rPr>
              <w:rFonts w:hint="default" w:ascii="Times New Roman" w:hAnsi="Times New Roman" w:eastAsia="方正小标宋简体" w:cs="Times New Roman"/>
              <w:kern w:val="0"/>
              <w:sz w:val="24"/>
              <w:szCs w:val="24"/>
              <w:lang w:val="en-US" w:eastAsia="zh-CN"/>
            </w:rPr>
            <w:instrText xml:space="preserve"> HYPERLINK \l _Toc20602 </w:instrText>
          </w:r>
          <w:r>
            <w:rPr>
              <w:rFonts w:hint="default" w:ascii="Times New Roman" w:hAnsi="Times New Roman" w:eastAsia="方正小标宋简体" w:cs="Times New Roman"/>
              <w:kern w:val="0"/>
              <w:sz w:val="24"/>
              <w:szCs w:val="24"/>
              <w:lang w:val="en-US" w:eastAsia="zh-CN"/>
            </w:rPr>
            <w:fldChar w:fldCharType="separate"/>
          </w:r>
          <w:r>
            <w:rPr>
              <w:rFonts w:hint="default" w:ascii="Times New Roman" w:hAnsi="Times New Roman" w:eastAsia="仿宋_GB2312" w:cs="Times New Roman"/>
              <w:bCs w:val="0"/>
              <w:kern w:val="0"/>
              <w:sz w:val="24"/>
              <w:szCs w:val="24"/>
              <w:lang w:val="en-US" w:eastAsia="zh-CN"/>
            </w:rPr>
            <w:t>一、具有独立承担民事责任能力的在中华人民共和国境内注册的法人或其他组织或自然人证明文件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_Toc20602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方正小标宋简体" w:cs="Times New Roman"/>
              <w:color w:val="000000"/>
              <w:kern w:val="0"/>
              <w:sz w:val="24"/>
              <w:szCs w:val="24"/>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方正小标宋简体" w:cs="Times New Roman"/>
              <w:color w:val="000000"/>
              <w:kern w:val="0"/>
              <w:sz w:val="24"/>
              <w:szCs w:val="24"/>
              <w:lang w:val="en-US" w:eastAsia="zh-CN"/>
            </w:rPr>
            <w:fldChar w:fldCharType="begin"/>
          </w:r>
          <w:r>
            <w:rPr>
              <w:rFonts w:hint="default" w:ascii="Times New Roman" w:hAnsi="Times New Roman" w:eastAsia="方正小标宋简体" w:cs="Times New Roman"/>
              <w:kern w:val="0"/>
              <w:sz w:val="24"/>
              <w:szCs w:val="24"/>
              <w:lang w:val="en-US" w:eastAsia="zh-CN"/>
            </w:rPr>
            <w:instrText xml:space="preserve"> HYPERLINK \l _Toc14423 </w:instrText>
          </w:r>
          <w:r>
            <w:rPr>
              <w:rFonts w:hint="default" w:ascii="Times New Roman" w:hAnsi="Times New Roman" w:eastAsia="方正小标宋简体" w:cs="Times New Roman"/>
              <w:kern w:val="0"/>
              <w:sz w:val="24"/>
              <w:szCs w:val="24"/>
              <w:lang w:val="en-US" w:eastAsia="zh-CN"/>
            </w:rPr>
            <w:fldChar w:fldCharType="separate"/>
          </w:r>
          <w:r>
            <w:rPr>
              <w:rFonts w:hint="default" w:ascii="Times New Roman" w:hAnsi="Times New Roman" w:eastAsia="仿宋_GB2312" w:cs="Times New Roman"/>
              <w:bCs w:val="0"/>
              <w:kern w:val="0"/>
              <w:sz w:val="24"/>
              <w:szCs w:val="24"/>
              <w:lang w:val="en-US" w:eastAsia="zh-CN"/>
            </w:rPr>
            <w:t>二、有依法缴纳税收和社会保障资金的良好记录证明文件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_Toc14423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方正小标宋简体" w:cs="Times New Roman"/>
              <w:color w:val="000000"/>
              <w:kern w:val="0"/>
              <w:sz w:val="24"/>
              <w:szCs w:val="24"/>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方正小标宋简体" w:cs="Times New Roman"/>
              <w:color w:val="000000"/>
              <w:kern w:val="0"/>
              <w:sz w:val="24"/>
              <w:szCs w:val="24"/>
              <w:lang w:val="en-US" w:eastAsia="zh-CN"/>
            </w:rPr>
            <w:fldChar w:fldCharType="begin"/>
          </w:r>
          <w:r>
            <w:rPr>
              <w:rFonts w:hint="default" w:ascii="Times New Roman" w:hAnsi="Times New Roman" w:eastAsia="方正小标宋简体" w:cs="Times New Roman"/>
              <w:kern w:val="0"/>
              <w:sz w:val="24"/>
              <w:szCs w:val="24"/>
              <w:lang w:val="en-US" w:eastAsia="zh-CN"/>
            </w:rPr>
            <w:instrText xml:space="preserve"> HYPERLINK \l _Toc16881 </w:instrText>
          </w:r>
          <w:r>
            <w:rPr>
              <w:rFonts w:hint="default" w:ascii="Times New Roman" w:hAnsi="Times New Roman" w:eastAsia="方正小标宋简体" w:cs="Times New Roman"/>
              <w:kern w:val="0"/>
              <w:sz w:val="24"/>
              <w:szCs w:val="24"/>
              <w:lang w:val="en-US" w:eastAsia="zh-CN"/>
            </w:rPr>
            <w:fldChar w:fldCharType="separate"/>
          </w:r>
          <w:r>
            <w:rPr>
              <w:rFonts w:hint="default" w:ascii="Times New Roman" w:hAnsi="Times New Roman" w:eastAsia="仿宋_GB2312" w:cs="Times New Roman"/>
              <w:bCs w:val="0"/>
              <w:kern w:val="0"/>
              <w:sz w:val="24"/>
              <w:szCs w:val="24"/>
              <w:lang w:val="en-US" w:eastAsia="zh-CN"/>
            </w:rPr>
            <w:t>三、具有良好的商业信誉和健全的财务会计制度证明文件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_Toc16881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方正小标宋简体" w:cs="Times New Roman"/>
              <w:color w:val="000000"/>
              <w:kern w:val="0"/>
              <w:sz w:val="24"/>
              <w:szCs w:val="24"/>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方正小标宋简体" w:cs="Times New Roman"/>
              <w:color w:val="000000"/>
              <w:kern w:val="0"/>
              <w:sz w:val="24"/>
              <w:szCs w:val="24"/>
              <w:lang w:val="en-US" w:eastAsia="zh-CN"/>
            </w:rPr>
            <w:fldChar w:fldCharType="begin"/>
          </w:r>
          <w:r>
            <w:rPr>
              <w:rFonts w:hint="default" w:ascii="Times New Roman" w:hAnsi="Times New Roman" w:eastAsia="方正小标宋简体" w:cs="Times New Roman"/>
              <w:kern w:val="0"/>
              <w:sz w:val="24"/>
              <w:szCs w:val="24"/>
              <w:lang w:val="en-US" w:eastAsia="zh-CN"/>
            </w:rPr>
            <w:instrText xml:space="preserve"> HYPERLINK \l _Toc9925 </w:instrText>
          </w:r>
          <w:r>
            <w:rPr>
              <w:rFonts w:hint="default" w:ascii="Times New Roman" w:hAnsi="Times New Roman" w:eastAsia="方正小标宋简体" w:cs="Times New Roman"/>
              <w:kern w:val="0"/>
              <w:sz w:val="24"/>
              <w:szCs w:val="24"/>
              <w:lang w:val="en-US" w:eastAsia="zh-CN"/>
            </w:rPr>
            <w:fldChar w:fldCharType="separate"/>
          </w:r>
          <w:r>
            <w:rPr>
              <w:rFonts w:hint="default" w:ascii="Times New Roman" w:hAnsi="Times New Roman" w:eastAsia="仿宋_GB2312" w:cs="Times New Roman"/>
              <w:bCs w:val="0"/>
              <w:kern w:val="0"/>
              <w:sz w:val="24"/>
              <w:szCs w:val="24"/>
              <w:lang w:val="en-US" w:eastAsia="zh-CN"/>
            </w:rPr>
            <w:t>四、具备开展土壤污染状况调查工作的基础能力证明文件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_Toc9925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方正小标宋简体" w:cs="Times New Roman"/>
              <w:color w:val="000000"/>
              <w:kern w:val="0"/>
              <w:sz w:val="24"/>
              <w:szCs w:val="24"/>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default" w:ascii="Times New Roman" w:hAnsi="Times New Roman" w:eastAsia="方正小标宋简体" w:cs="Times New Roman"/>
              <w:color w:val="000000"/>
              <w:kern w:val="0"/>
              <w:sz w:val="24"/>
              <w:szCs w:val="24"/>
              <w:lang w:val="en-US" w:eastAsia="zh-CN"/>
            </w:rPr>
            <w:fldChar w:fldCharType="begin"/>
          </w:r>
          <w:r>
            <w:rPr>
              <w:rFonts w:hint="default" w:ascii="Times New Roman" w:hAnsi="Times New Roman" w:eastAsia="方正小标宋简体" w:cs="Times New Roman"/>
              <w:kern w:val="0"/>
              <w:sz w:val="24"/>
              <w:szCs w:val="24"/>
              <w:lang w:val="en-US" w:eastAsia="zh-CN"/>
            </w:rPr>
            <w:instrText xml:space="preserve"> HYPERLINK \l _Toc25557 </w:instrText>
          </w:r>
          <w:r>
            <w:rPr>
              <w:rFonts w:hint="default" w:ascii="Times New Roman" w:hAnsi="Times New Roman" w:eastAsia="方正小标宋简体" w:cs="Times New Roman"/>
              <w:kern w:val="0"/>
              <w:sz w:val="24"/>
              <w:szCs w:val="24"/>
              <w:lang w:val="en-US" w:eastAsia="zh-CN"/>
            </w:rPr>
            <w:fldChar w:fldCharType="separate"/>
          </w:r>
          <w:r>
            <w:rPr>
              <w:rFonts w:hint="default" w:ascii="Times New Roman" w:hAnsi="Times New Roman" w:eastAsia="仿宋_GB2312" w:cs="Times New Roman"/>
              <w:bCs w:val="0"/>
              <w:kern w:val="0"/>
              <w:sz w:val="24"/>
              <w:szCs w:val="24"/>
              <w:lang w:val="en-US" w:eastAsia="zh-CN"/>
            </w:rPr>
            <w:t>五、在经营活动中没有重大违法记录或不良的信用记录证明文件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_Toc25557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eastAsia="方正小标宋简体" w:cs="Times New Roman"/>
              <w:color w:val="000000"/>
              <w:kern w:val="0"/>
              <w:sz w:val="24"/>
              <w:szCs w:val="24"/>
              <w:lang w:val="en-US" w:eastAsia="zh-CN"/>
            </w:rPr>
            <w:fldChar w:fldCharType="end"/>
          </w:r>
        </w:p>
        <w:p>
          <w:pPr>
            <w:jc w:val="center"/>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Cs w:val="32"/>
              <w:lang w:val="en-US" w:eastAsia="zh-CN"/>
            </w:rPr>
            <w:fldChar w:fldCharType="end"/>
          </w:r>
        </w:p>
      </w:sdtContent>
    </w:sdt>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Pr>
        <w:jc w:val="center"/>
        <w:outlineLvl w:val="0"/>
        <w:rPr>
          <w:rFonts w:hint="eastAsia" w:ascii="方正小标宋简体" w:hAnsi="宋体" w:eastAsia="方正小标宋简体" w:cs="宋体"/>
          <w:color w:val="000000"/>
          <w:kern w:val="0"/>
          <w:sz w:val="32"/>
          <w:szCs w:val="32"/>
          <w:lang w:eastAsia="zh-CN"/>
        </w:rPr>
      </w:pPr>
      <w:bookmarkStart w:id="0" w:name="_Toc19903"/>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p>
    <w:tbl>
      <w:tblPr>
        <w:tblStyle w:val="6"/>
        <w:tblW w:w="5000" w:type="pct"/>
        <w:jc w:val="center"/>
        <w:tblLayout w:type="fixed"/>
        <w:tblCellMar>
          <w:top w:w="0" w:type="dxa"/>
          <w:left w:w="108" w:type="dxa"/>
          <w:bottom w:w="0" w:type="dxa"/>
          <w:right w:w="108" w:type="dxa"/>
        </w:tblCellMar>
      </w:tblPr>
      <w:tblGrid>
        <w:gridCol w:w="860"/>
        <w:gridCol w:w="895"/>
        <w:gridCol w:w="1747"/>
        <w:gridCol w:w="883"/>
        <w:gridCol w:w="801"/>
        <w:gridCol w:w="833"/>
        <w:gridCol w:w="2503"/>
      </w:tblGrid>
      <w:tr>
        <w:tblPrEx>
          <w:tblCellMar>
            <w:top w:w="0" w:type="dxa"/>
            <w:left w:w="108" w:type="dxa"/>
            <w:bottom w:w="0" w:type="dxa"/>
            <w:right w:w="108" w:type="dxa"/>
          </w:tblCellMar>
        </w:tblPrEx>
        <w:trPr>
          <w:trHeight w:val="472" w:hRule="atLeast"/>
          <w:jc w:val="center"/>
        </w:trPr>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70"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70"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0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r>
              <w:rPr>
                <w:rFonts w:hint="eastAsia" w:ascii="仿宋_GB2312" w:hAnsi="宋体" w:eastAsia="仿宋_GB2312" w:cs="宋体"/>
                <w:b w:val="0"/>
                <w:bCs/>
                <w:color w:val="000000"/>
                <w:kern w:val="0"/>
                <w:sz w:val="24"/>
                <w:szCs w:val="24"/>
                <w:lang w:val="en-US" w:eastAsia="zh-CN"/>
              </w:rPr>
              <w:t>棠下镇天沙河大道东侧</w:t>
            </w:r>
          </w:p>
        </w:tc>
        <w:tc>
          <w:tcPr>
            <w:tcW w:w="4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109.12</w:t>
            </w:r>
          </w:p>
        </w:tc>
      </w:tr>
      <w:tr>
        <w:tblPrEx>
          <w:tblCellMar>
            <w:top w:w="0" w:type="dxa"/>
            <w:left w:w="108" w:type="dxa"/>
            <w:bottom w:w="0" w:type="dxa"/>
            <w:right w:w="108" w:type="dxa"/>
          </w:tblCellMar>
        </w:tblPrEx>
        <w:trPr>
          <w:trHeight w:val="540" w:hRule="atLeast"/>
          <w:jc w:val="center"/>
        </w:trPr>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70"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054"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04"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现场勘查、调研访谈</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地下水建井费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采样及现场快筛</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水文地质勘察</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土壤检测费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地下水检测费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04"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50"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054"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5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6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8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146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注明：污染识别报价/初步调查报价</w:t>
            </w: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2.如有分项明细，可另制作表格附在《土壤污染状况调查项目报价表》后。</w:t>
      </w:r>
    </w:p>
    <w:p>
      <w:pPr>
        <w:ind w:firstLine="708" w:firstLineChars="295"/>
        <w:rPr>
          <w:rFonts w:hint="eastAsia"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rPr>
          <w:rFonts w:hint="eastAsia" w:ascii="仿宋_GB2312" w:hAnsi="方正小标宋简体" w:eastAsia="仿宋_GB2312"/>
          <w:sz w:val="24"/>
          <w:szCs w:val="24"/>
        </w:rPr>
      </w:pPr>
      <w:r>
        <w:rPr>
          <w:rFonts w:hint="eastAsia" w:ascii="仿宋_GB2312" w:hAnsi="方正小标宋简体" w:eastAsia="仿宋_GB2312"/>
          <w:sz w:val="24"/>
          <w:szCs w:val="24"/>
        </w:rPr>
        <w:br w:type="page"/>
      </w:r>
    </w:p>
    <w:p>
      <w:pPr>
        <w:rPr>
          <w:rFonts w:hint="eastAsia" w:ascii="仿宋_GB2312" w:hAnsi="方正小标宋简体" w:eastAsia="仿宋_GB2312"/>
          <w:sz w:val="24"/>
          <w:szCs w:val="24"/>
        </w:rPr>
      </w:pPr>
    </w:p>
    <w:p>
      <w:pPr>
        <w:jc w:val="center"/>
        <w:outlineLvl w:val="0"/>
        <w:rPr>
          <w:rFonts w:hint="eastAsia" w:ascii="方正小标宋简体" w:hAnsi="宋体" w:eastAsia="方正小标宋简体" w:cs="宋体"/>
          <w:color w:val="000000"/>
          <w:kern w:val="0"/>
          <w:sz w:val="32"/>
          <w:szCs w:val="32"/>
        </w:rPr>
      </w:pPr>
      <w:bookmarkStart w:id="1" w:name="_Toc26514"/>
      <w:r>
        <w:rPr>
          <w:rFonts w:hint="eastAsia" w:ascii="方正小标宋简体" w:hAnsi="宋体" w:eastAsia="方正小标宋简体" w:cs="宋体"/>
          <w:color w:val="000000"/>
          <w:kern w:val="0"/>
          <w:sz w:val="32"/>
          <w:szCs w:val="32"/>
        </w:rPr>
        <w:t>第二部分资格审查表</w:t>
      </w:r>
      <w:bookmarkEnd w:id="1"/>
    </w:p>
    <w:tbl>
      <w:tblPr>
        <w:tblStyle w:val="6"/>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674"/>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158"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068"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6"/>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703"/>
        <w:gridCol w:w="2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17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1.企业法人的，提供营业执照复印件。</w:t>
            </w:r>
          </w:p>
        </w:tc>
        <w:tc>
          <w:tcPr>
            <w:tcW w:w="1049"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2.事务所等社会中介机构的，提供执业许可证复印件。</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3.事业单位的，提供事业单位法人证书复印件。</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4.农村集体经济组织的，提供农村集体经济组织等级证书复印件。</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5.基层群众性自治组织的，提供基层群众性自治组织特别法人统一社会信用代码证书复印件。</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6.自然人的，提供自然人身份证明复印件。</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8.如国家另有规定的，则从其规定。</w:t>
            </w:r>
          </w:p>
        </w:tc>
        <w:tc>
          <w:tcPr>
            <w:tcW w:w="1049"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17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1.提供</w:t>
            </w:r>
            <w:r>
              <w:rPr>
                <w:rStyle w:val="14"/>
                <w:rFonts w:hAnsi="宋体"/>
                <w:b w:val="0"/>
                <w:bCs/>
                <w:color w:val="auto"/>
                <w:lang w:val="en-US" w:eastAsia="zh-CN" w:bidi="ar"/>
              </w:rPr>
              <w:t>近3个月内中任意1个月</w:t>
            </w:r>
            <w:r>
              <w:rPr>
                <w:rStyle w:val="13"/>
                <w:rFonts w:hAnsi="宋体"/>
                <w:b w:val="0"/>
                <w:bCs/>
                <w:color w:val="auto"/>
                <w:lang w:val="en-US" w:eastAsia="zh-CN" w:bidi="ar"/>
              </w:rPr>
              <w:t>的依法缴纳税收的凭据证明和社会保障资金的相关材料复印件。</w:t>
            </w:r>
          </w:p>
        </w:tc>
        <w:tc>
          <w:tcPr>
            <w:tcW w:w="1049"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2.若依法免税或不需要缴纳社会保障资金的，提供相应证明材料复印件。</w:t>
            </w:r>
          </w:p>
        </w:tc>
        <w:tc>
          <w:tcPr>
            <w:tcW w:w="1049"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1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049"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49"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具备开展土壤污染状况调查工作的基础能力。</w:t>
            </w:r>
          </w:p>
        </w:tc>
        <w:tc>
          <w:tcPr>
            <w:tcW w:w="31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i w:val="0"/>
                <w:color w:val="auto"/>
                <w:kern w:val="0"/>
                <w:sz w:val="21"/>
                <w:szCs w:val="21"/>
                <w:highlight w:val="none"/>
                <w:u w:val="none"/>
                <w:lang w:val="en-US" w:eastAsia="zh-CN" w:bidi="ar"/>
              </w:rPr>
              <w:t>提供供应商或供应商委托或合作检测机构对应《土壤环境质量 建设用地土壤污染风险管控标准（试行）》（GB36600)表1土壤必测项目的CMA计量认证证书及附表，在附表中标记必测项目并需填写《建设用地土壤污染风险筛选值和管制值（基本项目）索引》。若为供应商委托或合作检测机构提供的，需另附供应商与委托或合作检测机构针对本项目的委托协议或合作协议。</w:t>
            </w:r>
          </w:p>
        </w:tc>
        <w:tc>
          <w:tcPr>
            <w:tcW w:w="1049"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49"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1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4"/>
                <w:rFonts w:hAnsi="宋体"/>
                <w:b w:val="0"/>
                <w:bCs/>
                <w:color w:val="auto"/>
                <w:lang w:val="en-US" w:eastAsia="zh-CN" w:bidi="ar"/>
              </w:rPr>
              <w:t>证明资料需通过网页打印形式保存，页眉页脚需显示有打印日期和打印网站信息。</w:t>
            </w:r>
          </w:p>
        </w:tc>
        <w:tc>
          <w:tcPr>
            <w:tcW w:w="1049"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1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49"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i w:val="0"/>
                <w:color w:val="000000"/>
                <w:sz w:val="21"/>
                <w:szCs w:val="21"/>
                <w:u w:val="none"/>
                <w:lang w:val="en-US" w:eastAsia="zh-CN"/>
              </w:rPr>
              <w:t>符合</w:t>
            </w:r>
            <w:r>
              <w:rPr>
                <w:rFonts w:hint="eastAsia" w:ascii="仿宋_GB2312" w:hAnsi="宋体" w:eastAsia="仿宋_GB2312" w:cs="仿宋_GB2312"/>
                <w:i w:val="0"/>
                <w:color w:val="000000"/>
                <w:sz w:val="21"/>
                <w:szCs w:val="21"/>
                <w:u w:val="none"/>
                <w:lang w:eastAsia="zh-CN"/>
              </w:rPr>
              <w:t>《政府采购促进中小企业发展管理办法》（财库〔2020〕46号）规定</w:t>
            </w:r>
            <w:r>
              <w:rPr>
                <w:rFonts w:hint="eastAsia" w:ascii="仿宋_GB2312" w:hAnsi="宋体" w:eastAsia="仿宋_GB2312" w:cs="仿宋_GB2312"/>
                <w:i w:val="0"/>
                <w:color w:val="000000"/>
                <w:sz w:val="21"/>
                <w:szCs w:val="21"/>
                <w:u w:val="none"/>
                <w:lang w:val="en-US" w:eastAsia="zh-CN"/>
              </w:rPr>
              <w:t>的中小微企业</w:t>
            </w:r>
          </w:p>
        </w:tc>
        <w:tc>
          <w:tcPr>
            <w:tcW w:w="3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rPr>
              <w:t>需按《政府采购促进中小企业发展管理办法》（财库〔2020〕46号）规定提交《中小企业声明函》（工程、服务）</w:t>
            </w:r>
            <w:r>
              <w:rPr>
                <w:rFonts w:hint="eastAsia" w:ascii="仿宋_GB2312" w:hAnsi="宋体" w:eastAsia="仿宋_GB2312" w:cs="仿宋_GB2312"/>
                <w:i w:val="0"/>
                <w:color w:val="000000"/>
                <w:sz w:val="21"/>
                <w:szCs w:val="21"/>
                <w:u w:val="none"/>
                <w:lang w:eastAsia="zh-CN"/>
              </w:rPr>
              <w:t>。</w:t>
            </w:r>
            <w:bookmarkStart w:id="7" w:name="_GoBack"/>
            <w:bookmarkEnd w:id="7"/>
          </w:p>
        </w:tc>
        <w:tc>
          <w:tcPr>
            <w:tcW w:w="10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2" w:name="_Toc20602"/>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bookmarkEnd w:id="2"/>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3" w:name="_Toc14423"/>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bookmarkEnd w:id="3"/>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4" w:name="_Toc16881"/>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bookmarkEnd w:id="4"/>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5" w:name="_Toc9925"/>
      <w:r>
        <w:rPr>
          <w:rFonts w:hint="eastAsia" w:ascii="仿宋_GB2312" w:hAnsi="仿宋_GB2312" w:eastAsia="仿宋_GB2312" w:cs="仿宋_GB2312"/>
          <w:b w:val="0"/>
          <w:bCs w:val="0"/>
          <w:color w:val="000000"/>
          <w:kern w:val="0"/>
          <w:sz w:val="32"/>
          <w:szCs w:val="32"/>
          <w:lang w:val="en-US" w:eastAsia="zh-CN"/>
        </w:rPr>
        <w:t>四、具备开展土壤污染状况调查工作的基础能力证明文件</w:t>
      </w:r>
      <w:bookmarkEnd w:id="5"/>
    </w:p>
    <w:tbl>
      <w:tblPr>
        <w:tblStyle w:val="6"/>
        <w:tblW w:w="8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0"/>
        <w:gridCol w:w="5277"/>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82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b w:val="0"/>
                <w:bCs w:val="0"/>
                <w:color w:val="000000"/>
                <w:kern w:val="0"/>
                <w:sz w:val="32"/>
                <w:szCs w:val="32"/>
                <w:lang w:val="en-US" w:eastAsia="zh-CN"/>
              </w:rPr>
              <w:br w:type="page"/>
            </w:r>
            <w:r>
              <w:rPr>
                <w:rFonts w:hint="eastAsia" w:ascii="仿宋_GB2312" w:hAnsi="仿宋_GB2312" w:eastAsia="仿宋_GB2312" w:cs="仿宋_GB2312"/>
                <w:i w:val="0"/>
                <w:color w:val="000000"/>
                <w:kern w:val="0"/>
                <w:sz w:val="28"/>
                <w:szCs w:val="28"/>
                <w:highlight w:val="none"/>
                <w:u w:val="none"/>
                <w:lang w:val="en-US" w:eastAsia="zh-CN" w:bidi="ar"/>
              </w:rPr>
              <w:t>建设用地土壤污染风险筛选值和管制值（基本项目）索引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污染物项目</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2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重金属和无机物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I</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镉</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铭（六价）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铜</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铅</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汞</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银</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2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挥发性有机物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四氯化碳</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氯仿</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氯甲浣</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1,1-二氯乙烷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1,2-二氯乙烷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1,1-二氯乙烯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顺-1,2-二氯乙烯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反-1,2-二氯乙烯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二氯甲烧</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1,2-二氯丙烷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1,1,1,2-四氯乙烷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l,1,2,2-四氯乙烷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21</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1,1,1-三氯乙烷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1,1,2-三氯乙烷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三氯乙烯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24</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 2,3-三氯丙烷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26</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27</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氯苯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28</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1,2-二氯苯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29</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r>
              <w:rPr>
                <w:rStyle w:val="15"/>
                <w:rFonts w:hint="eastAsia" w:ascii="仿宋_GB2312" w:hAnsi="仿宋_GB2312" w:eastAsia="仿宋_GB2312" w:cs="仿宋_GB2312"/>
                <w:sz w:val="28"/>
                <w:szCs w:val="28"/>
                <w:lang w:val="en-US" w:eastAsia="zh-CN" w:bidi="ar"/>
              </w:rPr>
              <w:t>二氯苯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30</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乙苯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苯乙烯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32</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甲苯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间二甲苯＋对二甲苯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34</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邻二甲苯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2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半挥发性有机物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35</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硝基苯</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36</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苯胺</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37</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r>
              <w:rPr>
                <w:rStyle w:val="15"/>
                <w:rFonts w:hint="eastAsia" w:ascii="仿宋_GB2312" w:hAnsi="仿宋_GB2312" w:eastAsia="仿宋_GB2312" w:cs="仿宋_GB2312"/>
                <w:sz w:val="28"/>
                <w:szCs w:val="28"/>
                <w:lang w:val="en-US" w:eastAsia="zh-CN" w:bidi="ar"/>
              </w:rPr>
              <w:t>氯酚</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38</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苯并</w:t>
            </w:r>
            <w:r>
              <w:rPr>
                <w:rStyle w:val="16"/>
                <w:rFonts w:hint="eastAsia" w:ascii="仿宋_GB2312" w:hAnsi="仿宋_GB2312" w:eastAsia="仿宋_GB2312" w:cs="仿宋_GB2312"/>
                <w:sz w:val="28"/>
                <w:szCs w:val="28"/>
                <w:lang w:val="en-US" w:eastAsia="zh-CN" w:bidi="ar"/>
              </w:rPr>
              <w:t>[a]</w:t>
            </w:r>
            <w:r>
              <w:rPr>
                <w:rStyle w:val="17"/>
                <w:rFonts w:hint="eastAsia" w:ascii="仿宋_GB2312" w:hAnsi="仿宋_GB2312" w:eastAsia="仿宋_GB2312" w:cs="仿宋_GB2312"/>
                <w:sz w:val="28"/>
                <w:szCs w:val="28"/>
                <w:lang w:val="en-US" w:eastAsia="zh-CN" w:bidi="ar"/>
              </w:rPr>
              <w:t>蔥</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39</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苯并[a]芘</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苯并</w:t>
            </w:r>
            <w:r>
              <w:rPr>
                <w:rStyle w:val="16"/>
                <w:rFonts w:hint="eastAsia" w:ascii="仿宋_GB2312" w:hAnsi="仿宋_GB2312" w:eastAsia="仿宋_GB2312" w:cs="仿宋_GB2312"/>
                <w:sz w:val="28"/>
                <w:szCs w:val="28"/>
                <w:lang w:val="en-US" w:eastAsia="zh-CN" w:bidi="ar"/>
              </w:rPr>
              <w:t>[b]</w:t>
            </w:r>
            <w:r>
              <w:rPr>
                <w:rStyle w:val="15"/>
                <w:rFonts w:hint="eastAsia" w:ascii="仿宋_GB2312" w:hAnsi="仿宋_GB2312" w:eastAsia="仿宋_GB2312" w:cs="仿宋_GB2312"/>
                <w:sz w:val="28"/>
                <w:szCs w:val="28"/>
                <w:lang w:val="en-US" w:eastAsia="zh-CN" w:bidi="ar"/>
              </w:rPr>
              <w:t>荧</w:t>
            </w:r>
            <w:r>
              <w:rPr>
                <w:rStyle w:val="17"/>
                <w:rFonts w:hint="eastAsia" w:ascii="仿宋_GB2312" w:hAnsi="仿宋_GB2312" w:eastAsia="仿宋_GB2312" w:cs="仿宋_GB2312"/>
                <w:sz w:val="28"/>
                <w:szCs w:val="28"/>
                <w:lang w:val="en-US" w:eastAsia="zh-CN" w:bidi="ar"/>
              </w:rPr>
              <w:t>蔥</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41</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苯并[k]</w:t>
            </w:r>
            <w:r>
              <w:rPr>
                <w:rStyle w:val="15"/>
                <w:rFonts w:hint="eastAsia" w:ascii="仿宋_GB2312" w:hAnsi="仿宋_GB2312" w:eastAsia="仿宋_GB2312" w:cs="仿宋_GB2312"/>
                <w:sz w:val="28"/>
                <w:szCs w:val="28"/>
                <w:lang w:val="en-US" w:eastAsia="zh-CN" w:bidi="ar"/>
              </w:rPr>
              <w:t>荧</w:t>
            </w:r>
            <w:r>
              <w:rPr>
                <w:rStyle w:val="17"/>
                <w:rFonts w:hint="eastAsia" w:ascii="仿宋_GB2312" w:hAnsi="仿宋_GB2312" w:eastAsia="仿宋_GB2312" w:cs="仿宋_GB2312"/>
                <w:sz w:val="28"/>
                <w:szCs w:val="28"/>
                <w:lang w:val="en-US" w:eastAsia="zh-CN" w:bidi="ar"/>
              </w:rPr>
              <w:t>蔥</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42</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䓛</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43</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二苯并[a,h] 蔥</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44</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茚并[1,2,3 -cd]芘</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45</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萘</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bl>
    <w:p>
      <w:pPr>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6" w:name="_Toc25557"/>
      <w:r>
        <w:rPr>
          <w:rFonts w:hint="eastAsia" w:ascii="仿宋_GB2312" w:hAnsi="仿宋_GB2312" w:eastAsia="仿宋_GB2312" w:cs="仿宋_GB2312"/>
          <w:b w:val="0"/>
          <w:bCs w:val="0"/>
          <w:color w:val="000000"/>
          <w:kern w:val="0"/>
          <w:sz w:val="32"/>
          <w:szCs w:val="32"/>
          <w:lang w:val="en-US" w:eastAsia="zh-CN"/>
        </w:rPr>
        <w:t>在经营活动中没有重大违法记录或不良的信用记录证明文件</w:t>
      </w:r>
      <w:bookmarkEnd w:id="6"/>
    </w:p>
    <w:p>
      <w:pPr>
        <w:widowControl/>
        <w:numPr>
          <w:numId w:val="0"/>
        </w:numPr>
        <w:jc w:val="left"/>
        <w:outlineLvl w:val="1"/>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符合《政府采购促进中小企业发展管理办法》（财库〔2020〕46号）规定的中小微企业的声明函</w:t>
      </w:r>
    </w:p>
    <w:sectPr>
      <w:footerReference r:id="rId3" w:type="default"/>
      <w:pgSz w:w="11906" w:h="16838"/>
      <w:pgMar w:top="10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8956"/>
    <w:multiLevelType w:val="singleLevel"/>
    <w:tmpl w:val="148E895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39E20BD"/>
    <w:rsid w:val="03AA1E47"/>
    <w:rsid w:val="0A875700"/>
    <w:rsid w:val="175A2B0F"/>
    <w:rsid w:val="222943DF"/>
    <w:rsid w:val="25786A89"/>
    <w:rsid w:val="2C3B033B"/>
    <w:rsid w:val="2EC64F84"/>
    <w:rsid w:val="2FB04E58"/>
    <w:rsid w:val="4DFD18C7"/>
    <w:rsid w:val="555C0BC8"/>
    <w:rsid w:val="5FA07FE8"/>
    <w:rsid w:val="5FCC19B4"/>
    <w:rsid w:val="65FE4498"/>
    <w:rsid w:val="6ACD1020"/>
    <w:rsid w:val="743804F3"/>
    <w:rsid w:val="766B724C"/>
    <w:rsid w:val="7FC6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toc 2"/>
    <w:basedOn w:val="1"/>
    <w:next w:val="1"/>
    <w:semiHidden/>
    <w:unhideWhenUsed/>
    <w:uiPriority w:val="39"/>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1">
    <w:name w:val="页眉 Char"/>
    <w:basedOn w:val="8"/>
    <w:link w:val="3"/>
    <w:qFormat/>
    <w:uiPriority w:val="99"/>
    <w:rPr>
      <w:sz w:val="18"/>
      <w:szCs w:val="18"/>
    </w:rPr>
  </w:style>
  <w:style w:type="character" w:customStyle="1" w:styleId="12">
    <w:name w:val="页脚 Char"/>
    <w:basedOn w:val="8"/>
    <w:link w:val="2"/>
    <w:qFormat/>
    <w:uiPriority w:val="99"/>
    <w:rPr>
      <w:sz w:val="18"/>
      <w:szCs w:val="18"/>
    </w:rPr>
  </w:style>
  <w:style w:type="character" w:customStyle="1" w:styleId="13">
    <w:name w:val="font31"/>
    <w:basedOn w:val="8"/>
    <w:uiPriority w:val="0"/>
    <w:rPr>
      <w:rFonts w:hint="eastAsia" w:ascii="仿宋_GB2312" w:eastAsia="仿宋_GB2312" w:cs="仿宋_GB2312"/>
      <w:color w:val="000000"/>
      <w:sz w:val="21"/>
      <w:szCs w:val="21"/>
      <w:u w:val="none"/>
    </w:rPr>
  </w:style>
  <w:style w:type="character" w:customStyle="1" w:styleId="14">
    <w:name w:val="font11"/>
    <w:basedOn w:val="8"/>
    <w:uiPriority w:val="0"/>
    <w:rPr>
      <w:rFonts w:hint="eastAsia" w:ascii="仿宋_GB2312" w:eastAsia="仿宋_GB2312" w:cs="仿宋_GB2312"/>
      <w:color w:val="FF0000"/>
      <w:sz w:val="21"/>
      <w:szCs w:val="21"/>
      <w:u w:val="none"/>
    </w:rPr>
  </w:style>
  <w:style w:type="character" w:customStyle="1" w:styleId="15">
    <w:name w:val="font41"/>
    <w:basedOn w:val="8"/>
    <w:uiPriority w:val="0"/>
    <w:rPr>
      <w:rFonts w:hint="eastAsia" w:ascii="仿宋_GB2312" w:eastAsia="仿宋_GB2312" w:cs="仿宋_GB2312"/>
      <w:color w:val="000000"/>
      <w:sz w:val="22"/>
      <w:szCs w:val="22"/>
      <w:u w:val="none"/>
    </w:rPr>
  </w:style>
  <w:style w:type="character" w:customStyle="1" w:styleId="16">
    <w:name w:val="font21"/>
    <w:basedOn w:val="8"/>
    <w:uiPriority w:val="0"/>
    <w:rPr>
      <w:rFonts w:hint="eastAsia" w:ascii="仿宋_GB2312" w:eastAsia="仿宋_GB2312" w:cs="仿宋_GB2312"/>
      <w:color w:val="000000"/>
      <w:sz w:val="22"/>
      <w:szCs w:val="22"/>
      <w:u w:val="none"/>
    </w:rPr>
  </w:style>
  <w:style w:type="character" w:customStyle="1" w:styleId="17">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0</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cp:lastPrinted>2023-09-28T07:07:24Z</cp:lastPrinted>
  <dcterms:modified xsi:type="dcterms:W3CDTF">2023-09-28T07:27:30Z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