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00"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00" w:lineRule="exact"/>
        <w:ind w:left="0" w:leftChars="0"/>
        <w:rPr>
          <w:rFonts w:ascii="Arial"/>
          <w:sz w:val="21"/>
        </w:rPr>
      </w:pPr>
    </w:p>
    <w:p>
      <w:pPr>
        <w:keepNext w:val="0"/>
        <w:keepLines w:val="0"/>
        <w:pageBreakBefore w:val="0"/>
        <w:wordWrap w:val="0"/>
        <w:overflowPunct/>
        <w:topLinePunct w:val="0"/>
        <w:bidi w:val="0"/>
        <w:spacing w:line="500"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21</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当事人：江门市XX五金压铸有限公司</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统一社会信用代码：91440703MA54Q5P550</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投资人：陈X彬</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经营地址：江门市蓬江区杜阮镇龙溪村瓦窑工业园AF</w:t>
      </w:r>
    </w:p>
    <w:p>
      <w:pPr>
        <w:keepNext w:val="0"/>
        <w:keepLines w:val="0"/>
        <w:pageBreakBefore w:val="0"/>
        <w:overflowPunct/>
        <w:topLinePunct w:val="0"/>
        <w:bidi w:val="0"/>
        <w:spacing w:line="500" w:lineRule="exact"/>
        <w:ind w:left="0" w:leftChars="0"/>
        <w:rPr>
          <w:rFonts w:ascii="Arial"/>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2023年6月25日，我局执法人员对你单位进行现场检查，发现你单位存在以下环境违法行为：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铝件铸造项目，检查时压铸脱模工序正在生产使用，我局执法人员发现该工序配套的废气收集管道破碎，脱落，导致压铸脱模工序产生的废气通过管道脱落处无组织对外排放，同时根据该厂提供的废气检测报告（编号：JMZH20220215004、编号：JLC-DH220168）显示该厂压铸脱模工序会产生颗粒物及非甲烷总烃两种污染物。即你单位存在在污染物处理设施发生故障后，未及时进行检查和维修，致使处理设施不能正常发挥处理作用的违法行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highlight w:val="yellow"/>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上述事实有我局2023年6月25日现场检查（勘察）记录，2023年6月25日、6月30日调查询问笔录、现场检查拍摄照片及视频，江门市XX</w:t>
      </w:r>
      <w:bookmarkStart w:id="0" w:name="_GoBack"/>
      <w:bookmarkEnd w:id="0"/>
      <w:r>
        <w:rPr>
          <w:rFonts w:hint="eastAsia" w:ascii="仿宋_GB2312" w:hAnsi="仿宋" w:eastAsia="仿宋_GB2312" w:cs="Times New Roman"/>
          <w:snapToGrid/>
          <w:color w:val="000000"/>
          <w:kern w:val="2"/>
          <w:sz w:val="32"/>
          <w:szCs w:val="32"/>
          <w:lang w:val="en-US" w:eastAsia="zh-CN" w:bidi="ar-SA"/>
        </w:rPr>
        <w:t>五金压铸有限公司的《排污许可证（副本）》节选、《检测报告》（报告编号：JMZH20220215004及</w:t>
      </w:r>
      <w:r>
        <w:rPr>
          <w:rFonts w:hint="eastAsia" w:ascii="仿宋_GB2312" w:hAnsi="仿宋" w:eastAsia="仿宋_GB2312" w:cs="Times New Roman"/>
          <w:snapToGrid/>
          <w:color w:val="000000"/>
          <w:kern w:val="2"/>
          <w:sz w:val="32"/>
          <w:szCs w:val="32"/>
          <w:highlight w:val="none"/>
          <w:lang w:val="en-US" w:eastAsia="zh-CN" w:bidi="ar-SA"/>
        </w:rPr>
        <w:t>JLC-DH220168）等</w:t>
      </w:r>
      <w:r>
        <w:rPr>
          <w:rFonts w:hint="eastAsia" w:ascii="仿宋_GB2312" w:hAnsi="仿宋" w:eastAsia="仿宋_GB2312" w:cs="Times New Roman"/>
          <w:snapToGrid/>
          <w:color w:val="000000"/>
          <w:kern w:val="2"/>
          <w:sz w:val="32"/>
          <w:szCs w:val="32"/>
          <w:lang w:val="en-US" w:eastAsia="zh-CN" w:bidi="ar-SA"/>
        </w:rPr>
        <w:t>为证。</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w:t>
      </w:r>
      <w:r>
        <w:rPr>
          <w:rFonts w:hint="eastAsia" w:ascii="仿宋_GB2312" w:hAnsi="仿宋_GB2312" w:eastAsia="仿宋_GB2312" w:cs="仿宋_GB2312"/>
          <w:snapToGrid/>
          <w:color w:val="000000"/>
          <w:kern w:val="2"/>
          <w:sz w:val="32"/>
          <w:szCs w:val="32"/>
          <w:lang w:val="en-US" w:eastAsia="zh-CN" w:bidi="ar-SA"/>
        </w:rPr>
        <w:t>违反了《中华人民共和国大气污染防治法》第二十条第二款的规定</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lang w:val="en-US" w:eastAsia="zh-CN" w:bidi="ar-SA"/>
        </w:rPr>
        <w:t>依据《中华人民共和国大气污染防治法》第九十九条第三项</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立即改正通过不正常运行大气污染防治设施逃避监管的方式排放大气污染物的违法行为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00"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00"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联系人：古先生，联系电话：0750-3291960。</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                             2023年7月18日</w:t>
      </w:r>
    </w:p>
    <w:tbl>
      <w:tblPr>
        <w:tblStyle w:val="2"/>
        <w:tblpPr w:leftFromText="180" w:rightFromText="180" w:vertAnchor="text" w:horzAnchor="page" w:tblpX="1480" w:tblpY="21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pgSz w:w="11906" w:h="16838"/>
      <w:pgMar w:top="2098" w:right="1587"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2F326C5"/>
    <w:rsid w:val="08B9254E"/>
    <w:rsid w:val="09E153CF"/>
    <w:rsid w:val="0F450E31"/>
    <w:rsid w:val="1C174DF4"/>
    <w:rsid w:val="1D413EF5"/>
    <w:rsid w:val="1E53325B"/>
    <w:rsid w:val="1ED876CB"/>
    <w:rsid w:val="24815DCA"/>
    <w:rsid w:val="257B169F"/>
    <w:rsid w:val="2624159B"/>
    <w:rsid w:val="2E43075E"/>
    <w:rsid w:val="2E5A20EC"/>
    <w:rsid w:val="406940E1"/>
    <w:rsid w:val="4E2A7611"/>
    <w:rsid w:val="50C576A4"/>
    <w:rsid w:val="583919BB"/>
    <w:rsid w:val="5A106171"/>
    <w:rsid w:val="5A6C5E26"/>
    <w:rsid w:val="5D327901"/>
    <w:rsid w:val="645D370F"/>
    <w:rsid w:val="64634E52"/>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826</Words>
  <Characters>929</Characters>
  <Lines>0</Lines>
  <Paragraphs>0</Paragraphs>
  <TotalTime>2</TotalTime>
  <ScaleCrop>false</ScaleCrop>
  <LinksUpToDate>false</LinksUpToDate>
  <CharactersWithSpaces>963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李秀娟</cp:lastModifiedBy>
  <cp:lastPrinted>2023-05-19T01:24:00Z</cp:lastPrinted>
  <dcterms:modified xsi:type="dcterms:W3CDTF">2023-07-18T02:09:12Z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FDA9FF1EB42A42CF8974B3E474911862_11</vt:lpwstr>
  </property>
</Properties>
</file>