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江门市蓬江区XX五金制品厂</w:t>
      </w:r>
    </w:p>
    <w:p>
      <w:pPr>
        <w:keepNext w:val="0"/>
        <w:keepLines w:val="0"/>
        <w:pageBreakBefore w:val="0"/>
        <w:widowControl w:val="0"/>
        <w:kinsoku/>
        <w:wordWrap/>
        <w:overflowPunct/>
        <w:topLinePunct w:val="0"/>
        <w:autoSpaceDE/>
        <w:autoSpaceDN/>
        <w:bidi w:val="0"/>
        <w:spacing w:line="576"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914407030719218869</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投资人：</w:t>
      </w:r>
      <w:r>
        <w:rPr>
          <w:rFonts w:hint="eastAsia" w:ascii="仿宋_GB2312" w:hAnsi="仿宋" w:eastAsia="仿宋_GB2312"/>
          <w:highlight w:val="none"/>
          <w:lang w:val="en-US" w:eastAsia="zh-CN"/>
        </w:rPr>
        <w:t>杨X</w:t>
      </w:r>
      <w:bookmarkStart w:id="0" w:name="_GoBack"/>
      <w:bookmarkEnd w:id="0"/>
      <w:r>
        <w:rPr>
          <w:rFonts w:hint="eastAsia" w:ascii="仿宋_GB2312" w:hAnsi="仿宋" w:eastAsia="仿宋_GB2312"/>
          <w:highlight w:val="none"/>
          <w:lang w:val="en-US" w:eastAsia="zh-CN"/>
        </w:rPr>
        <w:t>会</w:t>
      </w:r>
    </w:p>
    <w:p>
      <w:pPr>
        <w:keepNext w:val="0"/>
        <w:keepLines w:val="0"/>
        <w:pageBreakBefore w:val="0"/>
        <w:widowControl w:val="0"/>
        <w:kinsoku/>
        <w:wordWrap/>
        <w:overflowPunct/>
        <w:topLinePunct w:val="0"/>
        <w:autoSpaceDE/>
        <w:autoSpaceDN/>
        <w:bidi w:val="0"/>
        <w:spacing w:line="576"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地址：江门市蓬江区杜阮镇龙榜村工业区用地A075地块厂房</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2022年10月14日、10月17日、10月18日，我局执法人员对你单位进行现场检查，发现你单位存在以下环境违法行为：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你单位主要从事五金制品加工项目，未建立固体废物管理台账并如实记录。</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上述事实有我局2022年10月14日现场检查（勘察）记录、调查询问笔录、现场检查拍摄照片与视频，2022年10月17日调查询问笔录，《江门市工业固体废物台账记录本》复印件、《建设项目环境影响报告表》复印件等为证。    </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highlight w:val="none"/>
        </w:rPr>
        <w:t>《中华人民共和国固体废物污染环境防治法》第三十六条第一款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rPr>
        <w:t>《中华人民共和国固体废物污染环境防治法》第一百零二条第一款第八项</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责令你单位自收到本决定书之日起立即改正未建立固体废物管理台账并如实记录的违法行为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6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25" w:tblpY="47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3F51C7"/>
    <w:rsid w:val="04AA761B"/>
    <w:rsid w:val="08A92534"/>
    <w:rsid w:val="0A8516E1"/>
    <w:rsid w:val="0B055B73"/>
    <w:rsid w:val="0B963273"/>
    <w:rsid w:val="0D5F7150"/>
    <w:rsid w:val="0FE90846"/>
    <w:rsid w:val="12716006"/>
    <w:rsid w:val="16BA2357"/>
    <w:rsid w:val="172B30B1"/>
    <w:rsid w:val="18C02934"/>
    <w:rsid w:val="19532F81"/>
    <w:rsid w:val="1C0E008E"/>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721F7B"/>
    <w:rsid w:val="4221437C"/>
    <w:rsid w:val="42825D54"/>
    <w:rsid w:val="428836D8"/>
    <w:rsid w:val="43DF7264"/>
    <w:rsid w:val="454115EB"/>
    <w:rsid w:val="47DE269E"/>
    <w:rsid w:val="48CB01F5"/>
    <w:rsid w:val="4C9856D1"/>
    <w:rsid w:val="50CE4398"/>
    <w:rsid w:val="51A62FDC"/>
    <w:rsid w:val="54466CE9"/>
    <w:rsid w:val="591744C5"/>
    <w:rsid w:val="59472FCE"/>
    <w:rsid w:val="5E624814"/>
    <w:rsid w:val="680B7364"/>
    <w:rsid w:val="6F534C26"/>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677</Words>
  <Characters>738</Characters>
  <Lines>0</Lines>
  <Paragraphs>0</Paragraphs>
  <TotalTime>0</TotalTime>
  <ScaleCrop>false</ScaleCrop>
  <LinksUpToDate>false</LinksUpToDate>
  <CharactersWithSpaces>789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2022-12-15T09:05:58Z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