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江门市蓬江区滨江新区启动区新昌村PJ01-G-02地段（a02地块）</w:t>
      </w:r>
      <w:r>
        <w:rPr>
          <w:rFonts w:hint="eastAsia" w:ascii="方正小标宋简体" w:hAnsi="方正小标宋简体" w:eastAsia="方正小标宋简体"/>
          <w:sz w:val="44"/>
          <w:szCs w:val="44"/>
        </w:rPr>
        <w:br w:type="textWrapping"/>
      </w:r>
      <w:r>
        <w:rPr>
          <w:rFonts w:hint="eastAsia" w:ascii="方正小标宋简体" w:hAnsi="方正小标宋简体" w:eastAsia="方正小标宋简体"/>
          <w:sz w:val="44"/>
          <w:szCs w:val="44"/>
        </w:rPr>
        <w:t>土壤污染状况调查项目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p>
      <w:pPr>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p>
    <w:tbl>
      <w:tblPr>
        <w:tblStyle w:val="4"/>
        <w:tblW w:w="5000" w:type="pct"/>
        <w:jc w:val="center"/>
        <w:tblLayout w:type="autofit"/>
        <w:tblCellMar>
          <w:top w:w="0" w:type="dxa"/>
          <w:left w:w="108" w:type="dxa"/>
          <w:bottom w:w="0" w:type="dxa"/>
          <w:right w:w="108" w:type="dxa"/>
        </w:tblCellMar>
      </w:tblPr>
      <w:tblGrid>
        <w:gridCol w:w="1410"/>
        <w:gridCol w:w="1917"/>
        <w:gridCol w:w="1353"/>
        <w:gridCol w:w="1353"/>
        <w:gridCol w:w="1300"/>
        <w:gridCol w:w="1189"/>
      </w:tblGrid>
      <w:tr>
        <w:tblPrEx>
          <w:tblCellMar>
            <w:top w:w="0" w:type="dxa"/>
            <w:left w:w="108" w:type="dxa"/>
            <w:bottom w:w="0" w:type="dxa"/>
            <w:right w:w="108" w:type="dxa"/>
          </w:tblCellMar>
        </w:tblPrEx>
        <w:trPr>
          <w:trHeight w:val="472"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w:t>
            </w:r>
            <w:r>
              <w:rPr>
                <w:rFonts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名称</w:t>
            </w:r>
          </w:p>
        </w:tc>
        <w:tc>
          <w:tcPr>
            <w:tcW w:w="4173"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eastAsia="仿宋_GB2312"/>
                <w:sz w:val="24"/>
                <w:szCs w:val="24"/>
              </w:rPr>
              <w:t>江门市蓬江区</w:t>
            </w:r>
            <w:r>
              <w:rPr>
                <w:rFonts w:hint="eastAsia" w:ascii="仿宋_GB2312" w:eastAsia="仿宋_GB2312"/>
                <w:sz w:val="24"/>
                <w:szCs w:val="24"/>
                <w:lang w:val="en-US" w:eastAsia="zh-CN"/>
              </w:rPr>
              <w:t>滨江新区华安路以南、体育路以东</w:t>
            </w:r>
          </w:p>
        </w:tc>
        <w:tc>
          <w:tcPr>
            <w:tcW w:w="7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6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4.5</w:t>
            </w:r>
            <w:bookmarkStart w:id="0" w:name="_GoBack"/>
            <w:bookmarkEnd w:id="0"/>
          </w:p>
        </w:tc>
      </w:tr>
      <w:tr>
        <w:tblPrEx>
          <w:tblCellMar>
            <w:top w:w="0" w:type="dxa"/>
            <w:left w:w="108" w:type="dxa"/>
            <w:bottom w:w="0" w:type="dxa"/>
            <w:right w:w="108" w:type="dxa"/>
          </w:tblCellMar>
        </w:tblPrEx>
        <w:trPr>
          <w:trHeight w:val="540"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4173"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1951" w:type="pct"/>
            <w:gridSpan w:val="2"/>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827"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现场勘查、调研访谈</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地下水建井费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采样及现场快筛</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水文地质勘察</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土壤检测费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地下水检测费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1951" w:type="pct"/>
            <w:gridSpan w:val="2"/>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2.如有分项明细，可另制作表格附在《土壤污染状况调查项目报价表》后面。</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p>
    <w:tbl>
      <w:tblPr>
        <w:tblStyle w:val="4"/>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623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3"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3"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744"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483"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具有独立承担民事责任能力的在中华人民共和国境内注册的法人或其他组织或自然人。</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1.企业法人的，提供营业执照复印件。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2.事务所等社会中介机构的，提供执业许可证复印件。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3.事业单位的，提供事业单位法人证书复印件。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4.农村集体经济组织的，提供农村集体经济组织等级证书复印件。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5.基层群众性自治组织的，提供基层群众性自治组织特别法人统一社会信用代码证书复印件。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6.自然人的，提供自然人身份证明复印件。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8.如国家另有规定的，则从其规定。</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有依法缴纳税收和社会保障资金的良好记录。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1.提供近1个月的依法缴纳税收的凭据证明和社会保障资金的相关材料复印件。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2.若依法免税或不需要缴纳社会保障资金的，提供相应证明材料复印件。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具有良好的商业信誉和健全的财务会计制度。</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提供上一年度财务状况报告复印件，或银行出具的资信或银行出具的资信证明材料复印件。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具备开展土壤污染状况调查工作所必须的设备和专业技术能力。</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按“设备和专业技术能力情况表”填报，需提供设备购买发票或其他持有凭据。（所述“必须的设备”包括但不限于土壤快速检测设备和实验室样品检测设备。所述“其他凭据”包括但不限于设备租赁合同、项目合作协议和合作方设备发票等支持供应商开展本项目的证明材料。）</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在经营活动中没有重大违法记录或不良的信用记录。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未被列入“信用中国”网站(www.creditchinA.gov.cn)“记录失信被执行人或重大税收违法案件当事人名单”记录名单；不处于中国政府采购网(www.ccgp.gov.cn)“政府采购严重违法失信行为信息记录”中的禁止参加政府采购活动期间的相关证明资料。</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3"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广东省网上中介服务超市登记备案情况。</w:t>
            </w:r>
          </w:p>
        </w:tc>
        <w:tc>
          <w:tcPr>
            <w:tcW w:w="3744" w:type="pct"/>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ascii="仿宋_GB2312" w:eastAsia="仿宋_GB2312" w:cs="宋体" w:hAnsiTheme="majorEastAsia"/>
                <w:color w:val="000000"/>
                <w:kern w:val="0"/>
                <w:szCs w:val="21"/>
              </w:rPr>
            </w:pPr>
          </w:p>
          <w:p>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p>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 w:val="24"/>
                <w:szCs w:val="24"/>
              </w:rPr>
              <w:t xml:space="preserve">     </w:t>
            </w:r>
            <w:r>
              <w:rPr>
                <w:rFonts w:hint="eastAsia" w:ascii="仿宋_GB2312" w:eastAsia="仿宋_GB2312" w:cs="宋体" w:hAnsiTheme="majorEastAsia"/>
                <w:color w:val="000000"/>
                <w:kern w:val="0"/>
                <w:sz w:val="24"/>
                <w:szCs w:val="24"/>
                <w:u w:val="single"/>
              </w:rPr>
              <w:t xml:space="preserve">                           </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1"/>
              </w:rPr>
              <w:t>第（）页</w:t>
            </w:r>
          </w:p>
        </w:tc>
      </w:tr>
    </w:tbl>
    <w:p>
      <w:pPr>
        <w:widowControl/>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br w:type="page"/>
      </w:r>
      <w:r>
        <w:rPr>
          <w:rFonts w:hint="eastAsia" w:ascii="方正小标宋简体" w:hAnsi="方正小标宋简体" w:eastAsia="方正小标宋简体" w:cs="宋体"/>
          <w:color w:val="000000"/>
          <w:kern w:val="0"/>
          <w:sz w:val="32"/>
          <w:szCs w:val="32"/>
        </w:rPr>
        <w:t>设备和专业技术能力情况表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238"/>
        <w:gridCol w:w="21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48"/>
              <w:ind w:left="5"/>
              <w:jc w:val="center"/>
              <w:rPr>
                <w:rFonts w:ascii="仿宋_GB2312" w:eastAsia="仿宋_GB2312"/>
                <w:sz w:val="24"/>
                <w:szCs w:val="24"/>
              </w:rPr>
            </w:pPr>
            <w:r>
              <w:rPr>
                <w:rFonts w:hint="eastAsia" w:ascii="仿宋_GB2312" w:eastAsia="仿宋_GB2312"/>
                <w:sz w:val="24"/>
                <w:szCs w:val="24"/>
              </w:rPr>
              <w:t>序号</w:t>
            </w:r>
          </w:p>
        </w:tc>
        <w:tc>
          <w:tcPr>
            <w:tcW w:w="1900" w:type="pct"/>
            <w:vAlign w:val="center"/>
          </w:tcPr>
          <w:p>
            <w:pPr>
              <w:pStyle w:val="8"/>
              <w:spacing w:before="48"/>
              <w:jc w:val="center"/>
              <w:rPr>
                <w:rFonts w:ascii="仿宋_GB2312" w:eastAsia="仿宋_GB2312"/>
                <w:sz w:val="24"/>
                <w:szCs w:val="24"/>
                <w:lang w:eastAsia="zh-CN"/>
              </w:rPr>
            </w:pPr>
            <w:r>
              <w:rPr>
                <w:rFonts w:hint="eastAsia" w:ascii="仿宋_GB2312" w:eastAsia="仿宋_GB2312"/>
                <w:sz w:val="24"/>
                <w:szCs w:val="24"/>
                <w:lang w:eastAsia="zh-CN"/>
              </w:rPr>
              <w:t>设备名称或专业技术人员</w:t>
            </w:r>
          </w:p>
        </w:tc>
        <w:tc>
          <w:tcPr>
            <w:tcW w:w="1250" w:type="pct"/>
            <w:vAlign w:val="center"/>
          </w:tcPr>
          <w:p>
            <w:pPr>
              <w:pStyle w:val="8"/>
              <w:spacing w:before="48"/>
              <w:jc w:val="center"/>
              <w:rPr>
                <w:rFonts w:ascii="仿宋_GB2312" w:eastAsia="仿宋_GB2312"/>
                <w:sz w:val="24"/>
                <w:szCs w:val="24"/>
              </w:rPr>
            </w:pPr>
            <w:r>
              <w:rPr>
                <w:rFonts w:hint="eastAsia" w:ascii="仿宋_GB2312" w:eastAsia="仿宋_GB2312"/>
                <w:sz w:val="24"/>
                <w:szCs w:val="24"/>
              </w:rPr>
              <w:t>数量及单位</w:t>
            </w:r>
          </w:p>
        </w:tc>
        <w:tc>
          <w:tcPr>
            <w:tcW w:w="1251" w:type="pct"/>
            <w:vAlign w:val="center"/>
          </w:tcPr>
          <w:p>
            <w:pPr>
              <w:pStyle w:val="8"/>
              <w:tabs>
                <w:tab w:val="left" w:pos="1189"/>
              </w:tabs>
              <w:spacing w:before="48"/>
              <w:ind w:right="-53"/>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1</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2</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3</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widowControl/>
              <w:jc w:val="center"/>
              <w:rPr>
                <w:rFonts w:ascii="方正小标宋简体" w:hAnsi="方正小标宋简体" w:eastAsia="方正小标宋简体"/>
                <w:sz w:val="32"/>
                <w:szCs w:val="32"/>
              </w:rPr>
            </w:pPr>
            <w:r>
              <w:rPr>
                <w:rFonts w:hint="eastAsia" w:ascii="仿宋_GB2312" w:hAnsi="Lucida Sans" w:eastAsia="仿宋_GB2312"/>
                <w:w w:val="101"/>
                <w:sz w:val="24"/>
                <w:szCs w:val="24"/>
              </w:rPr>
              <w:t>…</w:t>
            </w:r>
          </w:p>
        </w:tc>
        <w:tc>
          <w:tcPr>
            <w:tcW w:w="1900" w:type="pct"/>
            <w:vAlign w:val="center"/>
          </w:tcPr>
          <w:p>
            <w:pPr>
              <w:widowControl/>
              <w:jc w:val="center"/>
              <w:rPr>
                <w:rFonts w:ascii="方正小标宋简体" w:hAnsi="方正小标宋简体" w:eastAsia="方正小标宋简体"/>
                <w:sz w:val="32"/>
                <w:szCs w:val="32"/>
              </w:rPr>
            </w:pPr>
          </w:p>
        </w:tc>
        <w:tc>
          <w:tcPr>
            <w:tcW w:w="1250" w:type="pct"/>
            <w:vAlign w:val="center"/>
          </w:tcPr>
          <w:p>
            <w:pPr>
              <w:widowControl/>
              <w:jc w:val="center"/>
              <w:rPr>
                <w:rFonts w:ascii="方正小标宋简体" w:hAnsi="方正小标宋简体" w:eastAsia="方正小标宋简体"/>
                <w:sz w:val="32"/>
                <w:szCs w:val="32"/>
              </w:rPr>
            </w:pPr>
          </w:p>
        </w:tc>
        <w:tc>
          <w:tcPr>
            <w:tcW w:w="1251" w:type="pct"/>
            <w:vAlign w:val="center"/>
          </w:tcPr>
          <w:p>
            <w:pPr>
              <w:widowControl/>
              <w:jc w:val="center"/>
              <w:rPr>
                <w:rFonts w:ascii="方正小标宋简体" w:hAnsi="方正小标宋简体" w:eastAsia="方正小标宋简体"/>
                <w:sz w:val="32"/>
                <w:szCs w:val="32"/>
              </w:rPr>
            </w:pPr>
          </w:p>
        </w:tc>
      </w:tr>
    </w:tbl>
    <w:p>
      <w:pPr>
        <w:widowControl/>
        <w:jc w:val="left"/>
        <w:rPr>
          <w:rFonts w:ascii="方正小标宋简体" w:hAnsi="方正小标宋简体" w:eastAsia="方正小标宋简体" w:cs="宋体"/>
          <w:color w:val="000000"/>
          <w:kern w:val="0"/>
          <w:sz w:val="32"/>
          <w:szCs w:val="32"/>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6ACD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2022-10-13T01:10:31Z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