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C1" w:rsidRDefault="00E57AFF">
      <w:pPr>
        <w:pStyle w:val="4"/>
        <w:widowControl/>
        <w:spacing w:beforeAutospacing="0" w:afterAutospacing="0" w:line="600" w:lineRule="atLeast"/>
        <w:jc w:val="center"/>
        <w:rPr>
          <w:rFonts w:ascii="微软雅黑" w:eastAsia="微软雅黑" w:hAnsi="微软雅黑" w:cs="微软雅黑" w:hint="default"/>
          <w:sz w:val="36"/>
          <w:szCs w:val="36"/>
        </w:rPr>
      </w:pPr>
      <w:r>
        <w:rPr>
          <w:rFonts w:ascii="微软雅黑" w:eastAsia="微软雅黑" w:hAnsi="微软雅黑" w:cs="微软雅黑"/>
          <w:sz w:val="36"/>
          <w:szCs w:val="36"/>
        </w:rPr>
        <w:t>2018</w:t>
      </w:r>
      <w:r>
        <w:rPr>
          <w:rFonts w:ascii="微软雅黑" w:eastAsia="微软雅黑" w:hAnsi="微软雅黑" w:cs="微软雅黑"/>
          <w:sz w:val="36"/>
          <w:szCs w:val="36"/>
        </w:rPr>
        <w:t>年蓬江区</w:t>
      </w:r>
      <w:r>
        <w:rPr>
          <w:rFonts w:ascii="微软雅黑" w:eastAsia="微软雅黑" w:hAnsi="微软雅黑" w:cs="微软雅黑"/>
          <w:sz w:val="36"/>
          <w:szCs w:val="36"/>
        </w:rPr>
        <w:t>政府采购中心</w:t>
      </w:r>
      <w:r>
        <w:rPr>
          <w:rFonts w:ascii="微软雅黑" w:eastAsia="微软雅黑" w:hAnsi="微软雅黑" w:cs="微软雅黑"/>
          <w:sz w:val="36"/>
          <w:szCs w:val="36"/>
        </w:rPr>
        <w:t>一般公共预算财政拨款“三公”经费</w:t>
      </w:r>
      <w:bookmarkStart w:id="0" w:name="_GoBack"/>
      <w:bookmarkEnd w:id="0"/>
      <w:r>
        <w:rPr>
          <w:rFonts w:ascii="微软雅黑" w:eastAsia="微软雅黑" w:hAnsi="微软雅黑" w:cs="微软雅黑"/>
          <w:sz w:val="36"/>
          <w:szCs w:val="36"/>
        </w:rPr>
        <w:t>支出决算表</w:t>
      </w:r>
    </w:p>
    <w:p w:rsidR="00CD4AC1" w:rsidRDefault="00E57AFF">
      <w:pPr>
        <w:widowControl/>
        <w:jc w:val="left"/>
        <w:rPr>
          <w:rFonts w:ascii="Arial" w:hAnsi="Arial" w:cs="Arial"/>
          <w:color w:val="333333"/>
          <w:sz w:val="18"/>
          <w:szCs w:val="18"/>
        </w:rPr>
      </w:pPr>
      <w:hyperlink r:id="rId6" w:history="1"/>
      <w:hyperlink r:id="rId7" w:tooltip="分享到QQ空间" w:history="1"/>
      <w:hyperlink r:id="rId8" w:tooltip="分享到新浪微博" w:history="1"/>
      <w:hyperlink r:id="rId9" w:tooltip="分享到腾讯微博" w:history="1"/>
      <w:hyperlink r:id="rId10" w:tooltip="分享到人人网" w:history="1"/>
      <w:hyperlink r:id="rId11" w:tooltip="分享到微信" w:history="1"/>
      <w:hyperlink r:id="rId12" w:tooltip="分享到豆瓣网" w:history="1"/>
      <w:hyperlink r:id="rId13" w:tooltip="分享到QQ好友" w:history="1"/>
    </w:p>
    <w:p w:rsidR="00CD4AC1" w:rsidRDefault="00E57AFF">
      <w:pPr>
        <w:pStyle w:val="a3"/>
        <w:widowControl/>
        <w:spacing w:beforeAutospacing="0" w:afterAutospacing="0" w:line="480" w:lineRule="atLeast"/>
        <w:ind w:firstLine="420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江门市蓬江区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政府采购中心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2018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年度“三公”经费财政拨款支出决算为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0.64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万元，完成预算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3.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70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万元的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17.30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%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。其中：因公出国（境）费支出决算为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0.00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万元，完成预算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0.00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万元的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0%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；公务用车购置及运行费支出决算为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0.64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万元，完成预算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2.30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万元的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27.83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%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；公务接待费支出决算为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0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万元，完成预算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1.40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万元的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0.00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% 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。</w:t>
      </w:r>
    </w:p>
    <w:p w:rsidR="00CD4AC1" w:rsidRDefault="00E57AFF">
      <w:pPr>
        <w:pStyle w:val="a3"/>
        <w:widowControl/>
        <w:spacing w:beforeAutospacing="0" w:afterAutospacing="0" w:line="480" w:lineRule="atLeast"/>
        <w:ind w:firstLine="420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2018年度“三公”经费支出决算小于预算数的主要情况：认真贯彻落实中央八项规定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精神和厉行节约的要求，从严控制“三公”经费开支，全年实际支出比预算有所节约。</w:t>
      </w:r>
      <w:r>
        <w:rPr>
          <w:rFonts w:ascii="仿宋" w:eastAsia="仿宋" w:hAnsi="仿宋" w:cs="仿宋" w:hint="eastAsia"/>
          <w:color w:val="333333"/>
          <w:sz w:val="30"/>
          <w:szCs w:val="30"/>
        </w:rPr>
        <w:t> </w:t>
      </w:r>
    </w:p>
    <w:p w:rsidR="00CD4AC1" w:rsidRDefault="00E57AFF">
      <w:pPr>
        <w:widowControl/>
        <w:jc w:val="left"/>
      </w:pPr>
      <w:r>
        <w:rPr>
          <w:noProof/>
        </w:rPr>
        <w:drawing>
          <wp:inline distT="0" distB="0" distL="114300" distR="114300">
            <wp:extent cx="5266055" cy="2038350"/>
            <wp:effectExtent l="0" t="0" r="1079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C1" w:rsidRDefault="00CD4AC1"/>
    <w:sectPr w:rsidR="00CD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294E"/>
    <w:rsid w:val="00CD4AC1"/>
    <w:rsid w:val="00E57AFF"/>
    <w:rsid w:val="389F294E"/>
    <w:rsid w:val="42EB1EB0"/>
    <w:rsid w:val="4E147612"/>
    <w:rsid w:val="5CB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E57AFF"/>
    <w:rPr>
      <w:sz w:val="18"/>
      <w:szCs w:val="18"/>
    </w:rPr>
  </w:style>
  <w:style w:type="character" w:customStyle="1" w:styleId="Char">
    <w:name w:val="批注框文本 Char"/>
    <w:basedOn w:val="a0"/>
    <w:link w:val="a4"/>
    <w:rsid w:val="00E57A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E57AFF"/>
    <w:rPr>
      <w:sz w:val="18"/>
      <w:szCs w:val="18"/>
    </w:rPr>
  </w:style>
  <w:style w:type="character" w:customStyle="1" w:styleId="Char">
    <w:name w:val="批注框文本 Char"/>
    <w:basedOn w:val="a0"/>
    <w:link w:val="a4"/>
    <w:rsid w:val="00E57A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q.gov.cn/gzjg/zcbm/pjqczj/201909/t20190925_2016516.html" TargetMode="External"/><Relationship Id="rId13" Type="http://schemas.openxmlformats.org/officeDocument/2006/relationships/hyperlink" Target="http://www.pjq.gov.cn/gzjg/zcbm/pjqczj/201909/t20190925_201651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jq.gov.cn/gzjg/zcbm/pjqczj/201909/t20190925_2016516.html" TargetMode="External"/><Relationship Id="rId12" Type="http://schemas.openxmlformats.org/officeDocument/2006/relationships/hyperlink" Target="http://www.pjq.gov.cn/gzjg/zcbm/pjqczj/201909/t20190925_2016516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jq.gov.cn/gzjg/zcbm/pjqczj/201909/t20190925_2016516.html" TargetMode="External"/><Relationship Id="rId11" Type="http://schemas.openxmlformats.org/officeDocument/2006/relationships/hyperlink" Target="http://www.pjq.gov.cn/gzjg/zcbm/pjqczj/201909/t20190925_201651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jq.gov.cn/gzjg/zcbm/pjqczj/201909/t20190925_20165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jq.gov.cn/gzjg/zcbm/pjqczj/201909/t20190925_2016516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流贤</cp:lastModifiedBy>
  <cp:revision>2</cp:revision>
  <dcterms:created xsi:type="dcterms:W3CDTF">2019-09-27T03:24:00Z</dcterms:created>
  <dcterms:modified xsi:type="dcterms:W3CDTF">2021-06-29T03:40:00Z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